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4E445" w14:textId="77777777" w:rsidR="00725BA1" w:rsidRDefault="00000000">
      <w:pPr>
        <w:widowControl/>
        <w:spacing w:beforeLines="20" w:before="62" w:afterLines="20" w:after="62"/>
        <w:jc w:val="center"/>
        <w:rPr>
          <w:rFonts w:asciiTheme="minorEastAsia" w:hAnsiTheme="minorEastAsia" w:cs="黑体"/>
          <w:b/>
          <w:bCs/>
          <w:kern w:val="0"/>
          <w:sz w:val="36"/>
          <w:szCs w:val="36"/>
        </w:rPr>
      </w:pPr>
      <w:r>
        <w:rPr>
          <w:rFonts w:asciiTheme="minorEastAsia" w:hAnsiTheme="minorEastAsia" w:cs="黑体" w:hint="eastAsia"/>
          <w:b/>
          <w:bCs/>
          <w:kern w:val="0"/>
          <w:sz w:val="36"/>
          <w:szCs w:val="36"/>
        </w:rPr>
        <w:t>《核桃油》团体标准编制说明</w:t>
      </w:r>
    </w:p>
    <w:p w14:paraId="4BFD480B" w14:textId="3F358A22" w:rsidR="00ED78C5" w:rsidRPr="00ED78C5" w:rsidRDefault="00ED78C5">
      <w:pPr>
        <w:widowControl/>
        <w:spacing w:beforeLines="20" w:before="62" w:afterLines="20" w:after="62"/>
        <w:jc w:val="center"/>
        <w:rPr>
          <w:rFonts w:asciiTheme="minorEastAsia" w:hAnsiTheme="minorEastAsia" w:cs="黑体" w:hint="eastAsia"/>
          <w:b/>
          <w:bCs/>
          <w:kern w:val="0"/>
          <w:sz w:val="28"/>
          <w:szCs w:val="28"/>
        </w:rPr>
      </w:pPr>
      <w:r w:rsidRPr="00ED78C5">
        <w:rPr>
          <w:rFonts w:asciiTheme="minorEastAsia" w:hAnsiTheme="minorEastAsia" w:cs="黑体" w:hint="eastAsia"/>
          <w:b/>
          <w:bCs/>
          <w:kern w:val="0"/>
          <w:sz w:val="28"/>
          <w:szCs w:val="28"/>
        </w:rPr>
        <w:t>（征求意见稿）</w:t>
      </w:r>
    </w:p>
    <w:p w14:paraId="11560DAD" w14:textId="77777777" w:rsidR="00725BA1" w:rsidRDefault="00000000">
      <w:pPr>
        <w:widowControl/>
        <w:spacing w:beforeLines="20" w:before="62" w:afterLines="20" w:after="62" w:line="360" w:lineRule="auto"/>
        <w:rPr>
          <w:rFonts w:asciiTheme="minorEastAsia" w:hAnsiTheme="minorEastAsia" w:cs="黑体" w:hint="eastAsia"/>
          <w:b/>
          <w:bCs/>
          <w:kern w:val="0"/>
          <w:sz w:val="24"/>
          <w:szCs w:val="21"/>
        </w:rPr>
      </w:pPr>
      <w:r>
        <w:rPr>
          <w:rFonts w:asciiTheme="minorEastAsia" w:hAnsiTheme="minorEastAsia" w:cs="黑体" w:hint="eastAsia"/>
          <w:b/>
          <w:bCs/>
          <w:kern w:val="0"/>
          <w:sz w:val="24"/>
          <w:szCs w:val="21"/>
        </w:rPr>
        <w:t>一、工作概况</w:t>
      </w:r>
    </w:p>
    <w:p w14:paraId="104E2E80" w14:textId="77777777" w:rsidR="00725BA1" w:rsidRDefault="00000000">
      <w:pPr>
        <w:pStyle w:val="ad"/>
        <w:widowControl/>
        <w:numPr>
          <w:ilvl w:val="0"/>
          <w:numId w:val="3"/>
        </w:numPr>
        <w:spacing w:beforeLines="20" w:before="62" w:afterLines="20" w:after="62" w:line="360" w:lineRule="auto"/>
        <w:ind w:firstLineChars="0"/>
        <w:rPr>
          <w:rFonts w:asciiTheme="minorEastAsia" w:hAnsiTheme="minorEastAsia" w:cs="黑体" w:hint="eastAsia"/>
          <w:b/>
          <w:bCs/>
          <w:kern w:val="0"/>
          <w:sz w:val="24"/>
          <w:szCs w:val="21"/>
        </w:rPr>
      </w:pPr>
      <w:r>
        <w:rPr>
          <w:rFonts w:asciiTheme="minorEastAsia" w:hAnsiTheme="minorEastAsia" w:cs="黑体" w:hint="eastAsia"/>
          <w:b/>
          <w:bCs/>
          <w:kern w:val="0"/>
          <w:sz w:val="24"/>
          <w:szCs w:val="21"/>
        </w:rPr>
        <w:t>任务来源</w:t>
      </w:r>
    </w:p>
    <w:p w14:paraId="6A8BA7A6" w14:textId="25DD6BEE" w:rsidR="00725BA1" w:rsidRDefault="00000000">
      <w:pPr>
        <w:widowControl/>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本标准由喀什光华现代农业有限公司提出并起草。</w:t>
      </w:r>
      <w:r w:rsidR="00ED78C5" w:rsidRPr="00ED78C5">
        <w:rPr>
          <w:rFonts w:asciiTheme="minorEastAsia" w:hAnsiTheme="minorEastAsia" w:cs="Times New Roman" w:hint="eastAsia"/>
          <w:kern w:val="0"/>
          <w:sz w:val="24"/>
          <w:szCs w:val="21"/>
        </w:rPr>
        <w:t>2025年12月，中国食品工业协会标准化工作委员会批准立项。</w:t>
      </w:r>
    </w:p>
    <w:p w14:paraId="2C46DBC4" w14:textId="77777777" w:rsidR="00725BA1" w:rsidRDefault="00000000">
      <w:pPr>
        <w:pStyle w:val="ad"/>
        <w:widowControl/>
        <w:numPr>
          <w:ilvl w:val="0"/>
          <w:numId w:val="3"/>
        </w:numPr>
        <w:spacing w:beforeLines="20" w:before="62" w:afterLines="20" w:after="62" w:line="360" w:lineRule="auto"/>
        <w:ind w:firstLineChars="0"/>
        <w:rPr>
          <w:rFonts w:asciiTheme="minorEastAsia" w:hAnsiTheme="minorEastAsia" w:cs="黑体" w:hint="eastAsia"/>
          <w:b/>
          <w:bCs/>
          <w:kern w:val="0"/>
          <w:sz w:val="24"/>
          <w:szCs w:val="21"/>
        </w:rPr>
      </w:pPr>
      <w:r>
        <w:rPr>
          <w:rFonts w:asciiTheme="minorEastAsia" w:hAnsiTheme="minorEastAsia" w:cs="黑体" w:hint="eastAsia"/>
          <w:b/>
          <w:bCs/>
          <w:kern w:val="0"/>
          <w:sz w:val="24"/>
          <w:szCs w:val="21"/>
        </w:rPr>
        <w:t>起草单位及起草人</w:t>
      </w:r>
    </w:p>
    <w:p w14:paraId="7276627C" w14:textId="77777777" w:rsidR="00725BA1" w:rsidRDefault="00000000">
      <w:pPr>
        <w:pStyle w:val="a7"/>
        <w:adjustRightInd w:val="0"/>
        <w:snapToGrid w:val="0"/>
        <w:ind w:firstLineChars="200" w:firstLine="480"/>
        <w:rPr>
          <w:rFonts w:asciiTheme="minorEastAsia" w:hAnsiTheme="minorEastAsia" w:cs="Times New Roman" w:hint="eastAsia"/>
          <w:kern w:val="0"/>
          <w:sz w:val="24"/>
        </w:rPr>
      </w:pPr>
      <w:r>
        <w:rPr>
          <w:rFonts w:asciiTheme="minorEastAsia" w:hAnsiTheme="minorEastAsia" w:cs="Times New Roman" w:hint="eastAsia"/>
          <w:kern w:val="0"/>
          <w:sz w:val="24"/>
        </w:rPr>
        <w:t>本标准参与起草单位：喀什光华现代农业有限公司、新疆农业大学、中国农业大学、国家粮食和物资储备局科学研究院粮油加工研究所、中共喀什地区叶城县委员会、四川成都中农大现代农业产业研究院、新疆维吾尔自治区核桃精深加工工程研究中心、新疆核桃精深加工工程技术研究中心、国家果蔬加工工程技术研究中心核桃分中心、喀什大学、新疆农业科学院、华南理工大学、河南牧业经济学院、日照职业技术学院、昌吉回族自治州检验检测中心、喀什地区叶城县农业农村局。</w:t>
      </w:r>
    </w:p>
    <w:p w14:paraId="31BEE8BE" w14:textId="77777777" w:rsidR="00725BA1" w:rsidRDefault="00000000">
      <w:pPr>
        <w:pStyle w:val="a7"/>
        <w:adjustRightInd w:val="0"/>
        <w:snapToGrid w:val="0"/>
        <w:ind w:firstLineChars="200" w:firstLine="480"/>
        <w:rPr>
          <w:rFonts w:asciiTheme="minorEastAsia" w:hAnsiTheme="minorEastAsia" w:cs="Times New Roman" w:hint="eastAsia"/>
          <w:kern w:val="0"/>
          <w:sz w:val="24"/>
        </w:rPr>
      </w:pPr>
      <w:r>
        <w:rPr>
          <w:rFonts w:asciiTheme="minorEastAsia" w:hAnsiTheme="minorEastAsia" w:cs="Times New Roman" w:hint="eastAsia"/>
          <w:kern w:val="0"/>
          <w:sz w:val="24"/>
        </w:rPr>
        <w:t>本标准主要起草人：张磊、张强、李聪方、王起才、倪元颖、臧佳辰、李景明、阿卜杜拉·</w:t>
      </w:r>
      <w:proofErr w:type="gramStart"/>
      <w:r>
        <w:rPr>
          <w:rFonts w:asciiTheme="minorEastAsia" w:hAnsiTheme="minorEastAsia" w:cs="Times New Roman" w:hint="eastAsia"/>
          <w:kern w:val="0"/>
          <w:sz w:val="24"/>
        </w:rPr>
        <w:t>玉苏普</w:t>
      </w:r>
      <w:proofErr w:type="gramEnd"/>
      <w:r>
        <w:rPr>
          <w:rFonts w:asciiTheme="minorEastAsia" w:hAnsiTheme="minorEastAsia" w:cs="Times New Roman" w:hint="eastAsia"/>
          <w:kern w:val="0"/>
          <w:sz w:val="24"/>
        </w:rPr>
        <w:t>、吴少堂、任娇艳、邱继尧、孙俪娜、侯银臣、党航、李鹏举、李威、熊波、马丽艳、马克喜、温馨、李沫、彭郁、王志敏、段章群、刘晶、刘江海、马珊、木</w:t>
      </w:r>
      <w:proofErr w:type="gramStart"/>
      <w:r>
        <w:rPr>
          <w:rFonts w:asciiTheme="minorEastAsia" w:hAnsiTheme="minorEastAsia" w:cs="Times New Roman" w:hint="eastAsia"/>
          <w:kern w:val="0"/>
          <w:sz w:val="24"/>
        </w:rPr>
        <w:t>巴热克·木胡达</w:t>
      </w:r>
      <w:proofErr w:type="gramEnd"/>
      <w:r>
        <w:rPr>
          <w:rFonts w:asciiTheme="minorEastAsia" w:hAnsiTheme="minorEastAsia" w:cs="Times New Roman" w:hint="eastAsia"/>
          <w:kern w:val="0"/>
          <w:sz w:val="24"/>
        </w:rPr>
        <w:t>尔、王志敏、范卓</w:t>
      </w:r>
      <w:proofErr w:type="gramStart"/>
      <w:r>
        <w:rPr>
          <w:rFonts w:asciiTheme="minorEastAsia" w:hAnsiTheme="minorEastAsia" w:cs="Times New Roman" w:hint="eastAsia"/>
          <w:kern w:val="0"/>
          <w:sz w:val="24"/>
        </w:rPr>
        <w:t>妍</w:t>
      </w:r>
      <w:proofErr w:type="gramEnd"/>
      <w:r>
        <w:rPr>
          <w:rFonts w:asciiTheme="minorEastAsia" w:hAnsiTheme="minorEastAsia" w:cs="Times New Roman" w:hint="eastAsia"/>
          <w:kern w:val="0"/>
          <w:sz w:val="24"/>
        </w:rPr>
        <w:t>、雷文平、高文涛、孙怡宁、程一绅。</w:t>
      </w:r>
    </w:p>
    <w:p w14:paraId="1BDFB202" w14:textId="77777777" w:rsidR="00725BA1" w:rsidRDefault="00000000">
      <w:pPr>
        <w:pStyle w:val="ad"/>
        <w:widowControl/>
        <w:numPr>
          <w:ilvl w:val="0"/>
          <w:numId w:val="3"/>
        </w:numPr>
        <w:spacing w:beforeLines="20" w:before="62" w:afterLines="20" w:after="62" w:line="360" w:lineRule="auto"/>
        <w:ind w:firstLineChars="0"/>
        <w:rPr>
          <w:rFonts w:asciiTheme="minorEastAsia" w:hAnsiTheme="minorEastAsia" w:cs="黑体" w:hint="eastAsia"/>
          <w:b/>
          <w:bCs/>
          <w:kern w:val="0"/>
          <w:sz w:val="24"/>
          <w:szCs w:val="21"/>
        </w:rPr>
      </w:pPr>
      <w:r>
        <w:rPr>
          <w:rFonts w:asciiTheme="minorEastAsia" w:hAnsiTheme="minorEastAsia" w:cs="黑体" w:hint="eastAsia"/>
          <w:b/>
          <w:bCs/>
          <w:kern w:val="0"/>
          <w:sz w:val="24"/>
          <w:szCs w:val="21"/>
        </w:rPr>
        <w:t>起草组分工</w:t>
      </w:r>
    </w:p>
    <w:p w14:paraId="476A3751" w14:textId="77777777" w:rsidR="00725BA1" w:rsidRDefault="00000000">
      <w:pPr>
        <w:widowControl/>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2024年6月，由喀什光华现代农业有限公司牵头分别成立标准起草小组，并对标准起草工作进行分工，明确各自任务和职责，以确保项目的顺利实施。由李聪方、张磊等人讨论确定标准编制基调并对终稿进行审查，邱继尧、</w:t>
      </w:r>
      <w:proofErr w:type="gramStart"/>
      <w:r>
        <w:rPr>
          <w:rFonts w:asciiTheme="minorEastAsia" w:hAnsiTheme="minorEastAsia" w:cs="Times New Roman" w:hint="eastAsia"/>
          <w:kern w:val="0"/>
          <w:sz w:val="24"/>
          <w:szCs w:val="21"/>
        </w:rPr>
        <w:t>党航等人</w:t>
      </w:r>
      <w:proofErr w:type="gramEnd"/>
      <w:r>
        <w:rPr>
          <w:rFonts w:asciiTheme="minorEastAsia" w:hAnsiTheme="minorEastAsia" w:cs="Times New Roman" w:hint="eastAsia"/>
          <w:kern w:val="0"/>
          <w:sz w:val="24"/>
          <w:szCs w:val="21"/>
        </w:rPr>
        <w:t>进行标准初稿撰写，张磊、李聪方、邱继尧、党航、李鹏举、李威、阿卜杜拉·</w:t>
      </w:r>
      <w:proofErr w:type="gramStart"/>
      <w:r>
        <w:rPr>
          <w:rFonts w:asciiTheme="minorEastAsia" w:hAnsiTheme="minorEastAsia" w:cs="Times New Roman" w:hint="eastAsia"/>
          <w:kern w:val="0"/>
          <w:sz w:val="24"/>
          <w:szCs w:val="21"/>
        </w:rPr>
        <w:t>玉苏普</w:t>
      </w:r>
      <w:proofErr w:type="gramEnd"/>
      <w:r>
        <w:rPr>
          <w:rFonts w:asciiTheme="minorEastAsia" w:hAnsiTheme="minorEastAsia" w:cs="Times New Roman" w:hint="eastAsia"/>
          <w:kern w:val="0"/>
          <w:sz w:val="24"/>
          <w:szCs w:val="21"/>
        </w:rPr>
        <w:t>等专家讨论修稿。</w:t>
      </w:r>
    </w:p>
    <w:p w14:paraId="2D575AD3" w14:textId="77777777" w:rsidR="00725BA1" w:rsidRDefault="00000000">
      <w:pPr>
        <w:widowControl/>
        <w:spacing w:line="360" w:lineRule="auto"/>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二、标准制定的目的和意义</w:t>
      </w:r>
    </w:p>
    <w:p w14:paraId="76AF020D" w14:textId="77777777" w:rsidR="00725BA1" w:rsidRDefault="00000000">
      <w:pPr>
        <w:widowControl/>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标准的制定填补了国家标准空白，细化要求：国家标准（GB）主要规定的是食品安全的基本底线，涉及污染物限量、真菌毒素限量、农药残留等。但对于核桃油的特定加工工艺、品质分级（如特优级）、风味特征、以及特定营养成分的保留等，国标可能无法完全覆盖。本团体标准对酸价、过氧化值等质量指标提出了更严格的要求。</w:t>
      </w:r>
    </w:p>
    <w:p w14:paraId="4B70414C" w14:textId="77777777" w:rsidR="00725BA1" w:rsidRDefault="00000000">
      <w:pPr>
        <w:widowControl/>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lastRenderedPageBreak/>
        <w:t>满足消费者对高品质和特色产品的需求：现代消费者越来越关注食用油的营养、风味和安全性。核桃油富含不饱和脂肪酸，但其营养成分和风味物质在加工过程中容易损失。团体标准通过规定原料选择（如要求成熟饱满、无病虫害的优质核桃）、生产工艺（如采用低温压榨等），旨在更好地保留核桃油的天然营养和风味，满足消费者对更高品质产品的追求。</w:t>
      </w:r>
    </w:p>
    <w:p w14:paraId="0870387A" w14:textId="77777777" w:rsidR="00725BA1" w:rsidRDefault="00000000">
      <w:pPr>
        <w:widowControl/>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规范市场竞争，促进优质优价：核桃油市场快速发展，但也出现了产品等级参差不齐、品质差异大、宣传混乱等问题。团体标准的制定，有助于区分产品等级，让真正高品质的核桃油有据可依，避免“劣币驱逐良币”，引导企业提升产品质量，保护消费者权益，并促进市场的良性竞争。</w:t>
      </w:r>
    </w:p>
    <w:p w14:paraId="6F51DC13" w14:textId="77777777" w:rsidR="00725BA1" w:rsidRDefault="00000000">
      <w:pPr>
        <w:widowControl/>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助力打造地域品牌，增强市场竞争力：一些团体标准与地方特色产业发展战略紧密结合。统一的、高水平的标准有助于形成区域品牌效应，提升新疆当地核桃油产品的市场知名度和竞争力。</w:t>
      </w:r>
    </w:p>
    <w:p w14:paraId="17F8781C" w14:textId="77777777" w:rsidR="00725BA1" w:rsidRDefault="00000000">
      <w:pPr>
        <w:widowControl/>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为市场监管提供重要依据：团体标准可以作为政府部门监管抽查的补充依据，为判定产品是否“合格”或是否符合其宣称的“高品质”提供了更细致的技术支撑，使监管更加精准有力。</w:t>
      </w:r>
    </w:p>
    <w:p w14:paraId="6A0573D6" w14:textId="77777777" w:rsidR="00725BA1" w:rsidRDefault="00000000">
      <w:pPr>
        <w:widowControl/>
        <w:numPr>
          <w:ilvl w:val="0"/>
          <w:numId w:val="4"/>
        </w:numPr>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该</w:t>
      </w:r>
      <w:r>
        <w:rPr>
          <w:rFonts w:asciiTheme="minorEastAsia" w:hAnsiTheme="minorEastAsia" w:cs="Times New Roman"/>
          <w:kern w:val="0"/>
          <w:sz w:val="24"/>
          <w:szCs w:val="21"/>
        </w:rPr>
        <w:t>《核桃</w:t>
      </w:r>
      <w:r>
        <w:rPr>
          <w:rFonts w:asciiTheme="minorEastAsia" w:hAnsiTheme="minorEastAsia" w:cs="Times New Roman" w:hint="eastAsia"/>
          <w:kern w:val="0"/>
          <w:sz w:val="24"/>
          <w:szCs w:val="21"/>
        </w:rPr>
        <w:t>油</w:t>
      </w:r>
      <w:r>
        <w:rPr>
          <w:rFonts w:asciiTheme="minorEastAsia" w:hAnsiTheme="minorEastAsia" w:cs="Times New Roman"/>
          <w:kern w:val="0"/>
          <w:sz w:val="24"/>
          <w:szCs w:val="21"/>
        </w:rPr>
        <w:t>》团体标准的编制，可以有效规范</w:t>
      </w:r>
      <w:proofErr w:type="gramStart"/>
      <w:r>
        <w:rPr>
          <w:rFonts w:asciiTheme="minorEastAsia" w:hAnsiTheme="minorEastAsia" w:cs="Times New Roman"/>
          <w:kern w:val="0"/>
          <w:sz w:val="24"/>
          <w:szCs w:val="21"/>
        </w:rPr>
        <w:t>核桃</w:t>
      </w:r>
      <w:r>
        <w:rPr>
          <w:rFonts w:asciiTheme="minorEastAsia" w:hAnsiTheme="minorEastAsia" w:cs="Times New Roman" w:hint="eastAsia"/>
          <w:kern w:val="0"/>
          <w:sz w:val="24"/>
          <w:szCs w:val="21"/>
        </w:rPr>
        <w:t>油</w:t>
      </w:r>
      <w:r>
        <w:rPr>
          <w:rFonts w:asciiTheme="minorEastAsia" w:hAnsiTheme="minorEastAsia" w:cs="Times New Roman"/>
          <w:kern w:val="0"/>
          <w:sz w:val="24"/>
          <w:szCs w:val="21"/>
        </w:rPr>
        <w:t>产品质</w:t>
      </w:r>
      <w:proofErr w:type="gramEnd"/>
      <w:r>
        <w:rPr>
          <w:rFonts w:asciiTheme="minorEastAsia" w:hAnsiTheme="minorEastAsia" w:cs="Times New Roman"/>
          <w:kern w:val="0"/>
          <w:sz w:val="24"/>
          <w:szCs w:val="21"/>
        </w:rPr>
        <w:t>原料规范，进而提高核桃附加值，提升国民食品营养和健康保障能力</w:t>
      </w:r>
      <w:r>
        <w:rPr>
          <w:rFonts w:asciiTheme="minorEastAsia" w:hAnsiTheme="minorEastAsia" w:cs="Times New Roman" w:hint="eastAsia"/>
          <w:kern w:val="0"/>
          <w:sz w:val="24"/>
          <w:szCs w:val="21"/>
        </w:rPr>
        <w:t>，并引</w:t>
      </w:r>
      <w:r>
        <w:rPr>
          <w:rFonts w:asciiTheme="minorEastAsia" w:hAnsiTheme="minorEastAsia" w:cs="Times New Roman"/>
          <w:kern w:val="0"/>
          <w:sz w:val="24"/>
          <w:szCs w:val="21"/>
        </w:rPr>
        <w:t>领核桃产业健康可持续发展。</w:t>
      </w:r>
    </w:p>
    <w:p w14:paraId="6E39D4F9" w14:textId="77777777" w:rsidR="00725BA1" w:rsidRDefault="00000000">
      <w:pPr>
        <w:numPr>
          <w:ilvl w:val="0"/>
          <w:numId w:val="4"/>
        </w:numPr>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该《核桃油》团体标准的编制，将有力推进我国核桃主产地（如新疆、云南等）的特色林果业提质增效工程，优化核桃产业结构，实现稳定增收并推动乡村振兴。</w:t>
      </w:r>
    </w:p>
    <w:p w14:paraId="3BAC3471" w14:textId="77777777" w:rsidR="00725BA1" w:rsidRDefault="00000000">
      <w:pPr>
        <w:numPr>
          <w:ilvl w:val="0"/>
          <w:numId w:val="4"/>
        </w:numPr>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该《核桃油》团体标准基于已有的科研成果和生产经验编制而成，其关键技术具有系统性、规范性。</w:t>
      </w:r>
    </w:p>
    <w:p w14:paraId="5864A0C0"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为推动我国核桃产业高质量发展，将基于高质化和高值化的核桃油及其产品进行全面推广，由新疆喀什光华现代农业有限公司作为牵头起草单位，广泛邀请我国林果业及油料加工领域研究的科研高校/研究单位及标准化技术机构参与编制工作，积极推进核桃</w:t>
      </w:r>
      <w:proofErr w:type="gramStart"/>
      <w:r>
        <w:rPr>
          <w:rFonts w:asciiTheme="minorEastAsia" w:hAnsiTheme="minorEastAsia" w:cs="Times New Roman" w:hint="eastAsia"/>
          <w:kern w:val="0"/>
          <w:sz w:val="24"/>
          <w:szCs w:val="21"/>
        </w:rPr>
        <w:t>油团体</w:t>
      </w:r>
      <w:proofErr w:type="gramEnd"/>
      <w:r>
        <w:rPr>
          <w:rFonts w:asciiTheme="minorEastAsia" w:hAnsiTheme="minorEastAsia" w:cs="Times New Roman" w:hint="eastAsia"/>
          <w:kern w:val="0"/>
          <w:sz w:val="24"/>
          <w:szCs w:val="21"/>
        </w:rPr>
        <w:t>标准制定工作，项目计划完成时间为2025年10月。</w:t>
      </w:r>
    </w:p>
    <w:p w14:paraId="37C91D3D" w14:textId="77777777" w:rsidR="00725BA1" w:rsidRDefault="00000000">
      <w:pPr>
        <w:widowControl/>
        <w:spacing w:beforeLines="20" w:before="62" w:afterLines="20" w:after="62" w:line="360" w:lineRule="auto"/>
        <w:rPr>
          <w:rFonts w:asciiTheme="minorEastAsia" w:hAnsiTheme="minorEastAsia" w:cs="黑体" w:hint="eastAsia"/>
          <w:b/>
          <w:bCs/>
          <w:kern w:val="0"/>
          <w:sz w:val="24"/>
          <w:szCs w:val="21"/>
        </w:rPr>
      </w:pPr>
      <w:r>
        <w:rPr>
          <w:rFonts w:asciiTheme="minorEastAsia" w:hAnsiTheme="minorEastAsia" w:cs="黑体" w:hint="eastAsia"/>
          <w:b/>
          <w:bCs/>
          <w:kern w:val="0"/>
          <w:sz w:val="24"/>
          <w:szCs w:val="21"/>
          <w:highlight w:val="lightGray"/>
        </w:rPr>
        <w:t>三、</w:t>
      </w:r>
      <w:r>
        <w:rPr>
          <w:rFonts w:asciiTheme="minorEastAsia" w:hAnsiTheme="minorEastAsia" w:cs="黑体" w:hint="eastAsia"/>
          <w:b/>
          <w:bCs/>
          <w:kern w:val="0"/>
          <w:sz w:val="24"/>
          <w:szCs w:val="21"/>
        </w:rPr>
        <w:t>编制过程</w:t>
      </w:r>
    </w:p>
    <w:p w14:paraId="21A14A92" w14:textId="77777777" w:rsidR="00725BA1" w:rsidRDefault="00000000">
      <w:pPr>
        <w:snapToGrid w:val="0"/>
        <w:spacing w:line="360" w:lineRule="auto"/>
        <w:ind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2024年6月，由喀什光华现代农业有限公司牵头成立标准起草小组，并对标准起草工作进行分工，明确各自任务和职责，以确保项目的顺利实施。标准研制组的主要起草人多是在基层一线的科技工作者和具有丰富标准编制经验的专家、学者，多年来在粮油加工领域积累了大量数据和经验，在核桃</w:t>
      </w:r>
      <w:proofErr w:type="gramStart"/>
      <w:r>
        <w:rPr>
          <w:rFonts w:asciiTheme="minorEastAsia" w:hAnsiTheme="minorEastAsia" w:cs="Times New Roman" w:hint="eastAsia"/>
          <w:kern w:val="0"/>
          <w:sz w:val="24"/>
          <w:szCs w:val="21"/>
        </w:rPr>
        <w:t>油加工</w:t>
      </w:r>
      <w:proofErr w:type="gramEnd"/>
      <w:r>
        <w:rPr>
          <w:rFonts w:asciiTheme="minorEastAsia" w:hAnsiTheme="minorEastAsia" w:cs="Times New Roman" w:hint="eastAsia"/>
          <w:kern w:val="0"/>
          <w:sz w:val="24"/>
          <w:szCs w:val="21"/>
        </w:rPr>
        <w:t>生产中积累了丰富的实践经验，为标准的制定奠定了良好的基础。</w:t>
      </w:r>
    </w:p>
    <w:p w14:paraId="17F63555"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本标准草案于2024年10月底正式完成。在草案稿的起草过程中，起草单位组织召集多名专家参与本次标准研制项目，并4次召开专家论证会，确定《核桃油》的编制大纲、标准名称和“要</w:t>
      </w:r>
      <w:r>
        <w:rPr>
          <w:rFonts w:asciiTheme="minorEastAsia" w:hAnsiTheme="minorEastAsia" w:cs="Times New Roman" w:hint="eastAsia"/>
          <w:kern w:val="0"/>
          <w:sz w:val="24"/>
          <w:szCs w:val="21"/>
        </w:rPr>
        <w:lastRenderedPageBreak/>
        <w:t>求”。针对核桃油生产技术标准普遍存在技术要求表述不清晰、计量单位符号不统一等问题，特别邀请粮油加工领域的专家进行深入研讨，最终依据GB/T 1.1-2020《标准化工作导则 第1部分：标准的结构和编写》对标准草案稿进行了通稿。为了保证通稿质量，牵头起草单位在标准编制组成立初期即组织粮油加工领域的专家直接参与编制指导，同时与林果业专家充分交流沟通，在关键过程的参数设定和核心‘要求’的表述上达成共识，以确保最终送审稿获得双方充分认可。</w:t>
      </w:r>
    </w:p>
    <w:p w14:paraId="6590D79A" w14:textId="77777777" w:rsidR="00725BA1" w:rsidRDefault="00000000">
      <w:pPr>
        <w:snapToGrid w:val="0"/>
        <w:spacing w:line="360" w:lineRule="auto"/>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四、标准制定的基本原则和依据</w:t>
      </w:r>
    </w:p>
    <w:p w14:paraId="447DDB08" w14:textId="77777777" w:rsidR="00725BA1" w:rsidRDefault="00000000">
      <w:pPr>
        <w:snapToGrid w:val="0"/>
        <w:spacing w:line="360" w:lineRule="auto"/>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1、编制原则</w:t>
      </w:r>
    </w:p>
    <w:p w14:paraId="2B48900F" w14:textId="77777777" w:rsidR="00725BA1" w:rsidRDefault="00000000">
      <w:pPr>
        <w:snapToGrid w:val="0"/>
        <w:spacing w:line="360" w:lineRule="auto"/>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A）本标准编制遵循“科学性、实用性、统一性、规范性”的原则，注重可操作性，力求达到核桃</w:t>
      </w:r>
      <w:proofErr w:type="gramStart"/>
      <w:r>
        <w:rPr>
          <w:rFonts w:asciiTheme="minorEastAsia" w:hAnsiTheme="minorEastAsia" w:cs="Times New Roman" w:hint="eastAsia"/>
          <w:kern w:val="0"/>
          <w:sz w:val="24"/>
          <w:szCs w:val="21"/>
        </w:rPr>
        <w:t>油研究</w:t>
      </w:r>
      <w:proofErr w:type="gramEnd"/>
      <w:r>
        <w:rPr>
          <w:rFonts w:asciiTheme="minorEastAsia" w:hAnsiTheme="minorEastAsia" w:cs="Times New Roman" w:hint="eastAsia"/>
          <w:kern w:val="0"/>
          <w:sz w:val="24"/>
          <w:szCs w:val="21"/>
        </w:rPr>
        <w:t>人员及核桃相关企业技术骨干人员会指导，核桃相关企业能实现高质化和高值化核桃油生产的效果。</w:t>
      </w:r>
    </w:p>
    <w:p w14:paraId="19CB543C" w14:textId="77777777" w:rsidR="00725BA1" w:rsidRDefault="00000000">
      <w:pPr>
        <w:snapToGrid w:val="0"/>
        <w:spacing w:line="360" w:lineRule="auto"/>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B）充分体现我国主要经济农作物核桃副产物高值化生产的技术指标，贴近。</w:t>
      </w:r>
    </w:p>
    <w:p w14:paraId="286B51E6" w14:textId="77777777" w:rsidR="00725BA1" w:rsidRDefault="00000000">
      <w:pPr>
        <w:snapToGrid w:val="0"/>
        <w:spacing w:line="360" w:lineRule="auto"/>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C）本标准不涉及强制性标准的条款和内容。</w:t>
      </w:r>
    </w:p>
    <w:p w14:paraId="38319EB3" w14:textId="77777777" w:rsidR="00725BA1" w:rsidRDefault="00000000">
      <w:pPr>
        <w:snapToGrid w:val="0"/>
        <w:spacing w:line="360" w:lineRule="auto"/>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D）本标准的结构和编写符合GB/T 1.1-2020的要求。</w:t>
      </w:r>
    </w:p>
    <w:p w14:paraId="62A21111" w14:textId="77777777" w:rsidR="00725BA1" w:rsidRDefault="00000000">
      <w:pPr>
        <w:snapToGrid w:val="0"/>
        <w:spacing w:line="360" w:lineRule="auto"/>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2、编制依据</w:t>
      </w:r>
    </w:p>
    <w:p w14:paraId="7E75A36C" w14:textId="77777777" w:rsidR="00725BA1" w:rsidRDefault="00000000">
      <w:pPr>
        <w:snapToGrid w:val="0"/>
        <w:spacing w:line="360" w:lineRule="auto"/>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A）本标准立足我国核桃产业现状，围绕核桃主产地关于核桃油标准、规范化生产的需求，结合核桃油生产技术方法，采取现场调研和实验室研究相结合的方式，广泛收集、查阅有关核桃油</w:t>
      </w:r>
      <w:proofErr w:type="gramStart"/>
      <w:r>
        <w:rPr>
          <w:rFonts w:asciiTheme="minorEastAsia" w:hAnsiTheme="minorEastAsia" w:cs="Times New Roman" w:hint="eastAsia"/>
          <w:kern w:val="0"/>
          <w:sz w:val="24"/>
          <w:szCs w:val="21"/>
        </w:rPr>
        <w:t>备生产</w:t>
      </w:r>
      <w:proofErr w:type="gramEnd"/>
      <w:r>
        <w:rPr>
          <w:rFonts w:asciiTheme="minorEastAsia" w:hAnsiTheme="minorEastAsia" w:cs="Times New Roman" w:hint="eastAsia"/>
          <w:kern w:val="0"/>
          <w:sz w:val="24"/>
          <w:szCs w:val="21"/>
        </w:rPr>
        <w:t>方面的书籍和文献以编制标准内容。</w:t>
      </w:r>
    </w:p>
    <w:p w14:paraId="020B55CF" w14:textId="77777777" w:rsidR="00725BA1" w:rsidRDefault="00000000">
      <w:pPr>
        <w:snapToGrid w:val="0"/>
        <w:spacing w:line="360" w:lineRule="auto"/>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B）本标准的制定主要依托由本单位和新疆农业大学合作完成的新疆自治区重大科技专项课题“核桃调和油加工过程中热稳定性及安全性的影响机制及控制技术”技术成果，结合喀什光华现代农业有限公司在新疆核桃产业中核桃</w:t>
      </w:r>
      <w:proofErr w:type="gramStart"/>
      <w:r>
        <w:rPr>
          <w:rFonts w:asciiTheme="minorEastAsia" w:hAnsiTheme="minorEastAsia" w:cs="Times New Roman" w:hint="eastAsia"/>
          <w:kern w:val="0"/>
          <w:sz w:val="24"/>
          <w:szCs w:val="21"/>
        </w:rPr>
        <w:t>油取得</w:t>
      </w:r>
      <w:proofErr w:type="gramEnd"/>
      <w:r>
        <w:rPr>
          <w:rFonts w:asciiTheme="minorEastAsia" w:hAnsiTheme="minorEastAsia" w:cs="Times New Roman" w:hint="eastAsia"/>
          <w:kern w:val="0"/>
          <w:sz w:val="24"/>
          <w:szCs w:val="21"/>
        </w:rPr>
        <w:t>的显著成效。这些科技成果将为制定本标准提供了充分的技术支持。</w:t>
      </w:r>
    </w:p>
    <w:p w14:paraId="07E78526" w14:textId="77777777" w:rsidR="00725BA1" w:rsidRDefault="00000000">
      <w:pPr>
        <w:snapToGrid w:val="0"/>
        <w:spacing w:line="360" w:lineRule="auto"/>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C）本标准在制备核桃油的原料、食品中各成分测定均引用食品安全国家标准：GB 149641、GB 2761、GB 2762、GB 2763、GB 5009.37/236/227/229/236。</w:t>
      </w:r>
    </w:p>
    <w:p w14:paraId="57EBB6F5" w14:textId="77777777" w:rsidR="00725BA1" w:rsidRDefault="00000000">
      <w:pPr>
        <w:snapToGrid w:val="0"/>
        <w:spacing w:line="360" w:lineRule="auto"/>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3、与现行法律、法规、标准的关系</w:t>
      </w:r>
    </w:p>
    <w:p w14:paraId="08D6AFA9"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与现行核桃油的国家、行业、地方标准没有冲突，并继续参照了相关标准的内容，同时提高了本文件的制备生产和检测评价指标的可靠性和合理性。</w:t>
      </w:r>
    </w:p>
    <w:p w14:paraId="76C405DC" w14:textId="77777777" w:rsidR="00725BA1" w:rsidRDefault="00000000">
      <w:pPr>
        <w:snapToGrid w:val="0"/>
        <w:spacing w:line="360" w:lineRule="auto"/>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五、标准主要条款及其确定原则和说明</w:t>
      </w:r>
    </w:p>
    <w:p w14:paraId="1294B160"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（一）术语和定义</w:t>
      </w:r>
    </w:p>
    <w:p w14:paraId="68FD679D" w14:textId="77777777" w:rsidR="00725BA1" w:rsidRDefault="00000000">
      <w:pPr>
        <w:snapToGrid w:val="0"/>
        <w:spacing w:line="360" w:lineRule="auto"/>
        <w:ind w:firstLineChars="200" w:firstLine="482"/>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核桃油 walnut oil</w:t>
      </w:r>
    </w:p>
    <w:p w14:paraId="52FF6979"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以核桃为原料，不使用其他辅料，经冷</w:t>
      </w:r>
      <w:proofErr w:type="gramStart"/>
      <w:r>
        <w:rPr>
          <w:rFonts w:asciiTheme="minorEastAsia" w:hAnsiTheme="minorEastAsia" w:cs="Times New Roman" w:hint="eastAsia"/>
          <w:kern w:val="0"/>
          <w:sz w:val="24"/>
          <w:szCs w:val="21"/>
        </w:rPr>
        <w:t>榨</w:t>
      </w:r>
      <w:proofErr w:type="gramEnd"/>
      <w:r>
        <w:rPr>
          <w:rFonts w:asciiTheme="minorEastAsia" w:hAnsiTheme="minorEastAsia" w:cs="Times New Roman" w:hint="eastAsia"/>
          <w:kern w:val="0"/>
          <w:sz w:val="24"/>
          <w:szCs w:val="21"/>
        </w:rPr>
        <w:t>工艺（低于65℃）制成的可食用成品油脂。</w:t>
      </w:r>
    </w:p>
    <w:p w14:paraId="52AF9DD4"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lastRenderedPageBreak/>
        <w:t>（二）技术要求</w:t>
      </w:r>
    </w:p>
    <w:p w14:paraId="67614A8A"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a原料和辅料</w:t>
      </w:r>
    </w:p>
    <w:p w14:paraId="49CC442B"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应符合GB19641的规定。</w:t>
      </w:r>
    </w:p>
    <w:p w14:paraId="100984FB"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kern w:val="0"/>
          <w:sz w:val="24"/>
          <w:szCs w:val="21"/>
        </w:rPr>
        <w:t>应采用形态饱满、无霉变的核桃</w:t>
      </w:r>
      <w:r>
        <w:rPr>
          <w:rFonts w:asciiTheme="minorEastAsia" w:hAnsiTheme="minorEastAsia" w:cs="Times New Roman" w:hint="eastAsia"/>
          <w:kern w:val="0"/>
          <w:sz w:val="24"/>
          <w:szCs w:val="21"/>
        </w:rPr>
        <w:t>进行</w:t>
      </w:r>
      <w:r>
        <w:rPr>
          <w:rFonts w:asciiTheme="minorEastAsia" w:hAnsiTheme="minorEastAsia" w:cs="Times New Roman"/>
          <w:kern w:val="0"/>
          <w:sz w:val="24"/>
          <w:szCs w:val="21"/>
        </w:rPr>
        <w:t>加工生产</w:t>
      </w:r>
      <w:r>
        <w:rPr>
          <w:rFonts w:asciiTheme="minorEastAsia" w:hAnsiTheme="minorEastAsia" w:cs="Times New Roman" w:hint="eastAsia"/>
          <w:kern w:val="0"/>
          <w:sz w:val="24"/>
          <w:szCs w:val="21"/>
        </w:rPr>
        <w:t>。</w:t>
      </w:r>
    </w:p>
    <w:p w14:paraId="500A11DE"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b感官要求</w:t>
      </w:r>
    </w:p>
    <w:p w14:paraId="4097C798" w14:textId="77777777" w:rsidR="00725BA1" w:rsidRDefault="00000000">
      <w:pPr>
        <w:pStyle w:val="a6"/>
        <w:tabs>
          <w:tab w:val="left" w:pos="575"/>
        </w:tabs>
        <w:spacing w:beforeLines="50" w:before="156" w:afterLines="50" w:after="156"/>
        <w:jc w:val="center"/>
        <w:rPr>
          <w:rFonts w:ascii="黑体" w:eastAsia="黑体" w:hAnsi="黑体" w:cs="黑体" w:hint="eastAsia"/>
          <w:szCs w:val="22"/>
        </w:rPr>
      </w:pPr>
      <w:r>
        <w:rPr>
          <w:rFonts w:ascii="黑体" w:eastAsia="黑体" w:hAnsi="黑体" w:cs="黑体" w:hint="eastAsia"/>
          <w:szCs w:val="22"/>
        </w:rPr>
        <w:t>核桃油感官要求</w:t>
      </w:r>
    </w:p>
    <w:tbl>
      <w:tblPr>
        <w:tblStyle w:val="ac"/>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116"/>
        <w:gridCol w:w="902"/>
        <w:gridCol w:w="1547"/>
        <w:gridCol w:w="1547"/>
        <w:gridCol w:w="2808"/>
      </w:tblGrid>
      <w:tr w:rsidR="00725BA1" w14:paraId="78704C13" w14:textId="77777777">
        <w:trPr>
          <w:jc w:val="center"/>
        </w:trPr>
        <w:tc>
          <w:tcPr>
            <w:tcW w:w="1116" w:type="dxa"/>
            <w:vMerge w:val="restart"/>
            <w:vAlign w:val="center"/>
          </w:tcPr>
          <w:p w14:paraId="40E62233"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项目</w:t>
            </w:r>
          </w:p>
        </w:tc>
        <w:tc>
          <w:tcPr>
            <w:tcW w:w="3996" w:type="dxa"/>
            <w:gridSpan w:val="3"/>
            <w:vAlign w:val="center"/>
          </w:tcPr>
          <w:p w14:paraId="6FE317A5"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要求</w:t>
            </w:r>
          </w:p>
        </w:tc>
        <w:tc>
          <w:tcPr>
            <w:tcW w:w="2808" w:type="dxa"/>
            <w:vMerge w:val="restart"/>
            <w:vAlign w:val="center"/>
          </w:tcPr>
          <w:p w14:paraId="3E5E0678"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检验方法</w:t>
            </w:r>
          </w:p>
        </w:tc>
      </w:tr>
      <w:tr w:rsidR="00725BA1" w14:paraId="0B107ED5" w14:textId="77777777">
        <w:trPr>
          <w:jc w:val="center"/>
        </w:trPr>
        <w:tc>
          <w:tcPr>
            <w:tcW w:w="1116" w:type="dxa"/>
            <w:vMerge/>
            <w:vAlign w:val="center"/>
          </w:tcPr>
          <w:p w14:paraId="6FC53822" w14:textId="77777777" w:rsidR="00725BA1" w:rsidRDefault="00725BA1">
            <w:pPr>
              <w:pStyle w:val="a6"/>
              <w:tabs>
                <w:tab w:val="left" w:pos="575"/>
              </w:tabs>
              <w:spacing w:after="0"/>
              <w:jc w:val="left"/>
              <w:rPr>
                <w:rFonts w:ascii="宋体" w:hAnsi="宋体" w:cs="宋体" w:hint="eastAsia"/>
                <w:sz w:val="18"/>
                <w:szCs w:val="18"/>
              </w:rPr>
            </w:pPr>
          </w:p>
        </w:tc>
        <w:tc>
          <w:tcPr>
            <w:tcW w:w="902" w:type="dxa"/>
            <w:vAlign w:val="center"/>
          </w:tcPr>
          <w:p w14:paraId="1842FD6A" w14:textId="77777777" w:rsidR="00725BA1" w:rsidRDefault="00000000">
            <w:pPr>
              <w:pStyle w:val="a6"/>
              <w:tabs>
                <w:tab w:val="left" w:pos="575"/>
              </w:tabs>
              <w:spacing w:after="0"/>
              <w:jc w:val="center"/>
              <w:rPr>
                <w:rFonts w:ascii="宋体" w:eastAsia="宋体" w:hAnsi="宋体" w:cs="宋体" w:hint="eastAsia"/>
                <w:sz w:val="18"/>
                <w:szCs w:val="18"/>
              </w:rPr>
            </w:pPr>
            <w:r>
              <w:rPr>
                <w:rFonts w:ascii="宋体" w:hAnsi="宋体" w:cs="宋体" w:hint="eastAsia"/>
                <w:sz w:val="18"/>
                <w:szCs w:val="18"/>
              </w:rPr>
              <w:t>特级</w:t>
            </w:r>
          </w:p>
        </w:tc>
        <w:tc>
          <w:tcPr>
            <w:tcW w:w="1547" w:type="dxa"/>
            <w:vAlign w:val="center"/>
          </w:tcPr>
          <w:p w14:paraId="0CE6E051" w14:textId="77777777" w:rsidR="00725BA1" w:rsidRDefault="00000000">
            <w:pPr>
              <w:pStyle w:val="a6"/>
              <w:tabs>
                <w:tab w:val="left" w:pos="575"/>
              </w:tabs>
              <w:spacing w:after="0"/>
              <w:jc w:val="center"/>
              <w:rPr>
                <w:rFonts w:ascii="宋体" w:eastAsia="宋体" w:hAnsi="宋体" w:cs="宋体" w:hint="eastAsia"/>
                <w:sz w:val="18"/>
                <w:szCs w:val="18"/>
              </w:rPr>
            </w:pPr>
            <w:r>
              <w:rPr>
                <w:rFonts w:ascii="宋体" w:hAnsi="宋体" w:cs="宋体" w:hint="eastAsia"/>
                <w:sz w:val="18"/>
                <w:szCs w:val="18"/>
              </w:rPr>
              <w:t>一级</w:t>
            </w:r>
          </w:p>
        </w:tc>
        <w:tc>
          <w:tcPr>
            <w:tcW w:w="1547" w:type="dxa"/>
            <w:vAlign w:val="center"/>
          </w:tcPr>
          <w:p w14:paraId="4F35B8C6" w14:textId="77777777" w:rsidR="00725BA1" w:rsidRDefault="00000000">
            <w:pPr>
              <w:pStyle w:val="a6"/>
              <w:tabs>
                <w:tab w:val="left" w:pos="575"/>
              </w:tabs>
              <w:spacing w:after="0"/>
              <w:jc w:val="center"/>
              <w:rPr>
                <w:rFonts w:ascii="宋体" w:eastAsia="宋体" w:hAnsi="宋体" w:cs="宋体" w:hint="eastAsia"/>
                <w:sz w:val="18"/>
                <w:szCs w:val="18"/>
              </w:rPr>
            </w:pPr>
            <w:r>
              <w:rPr>
                <w:rFonts w:ascii="宋体" w:hAnsi="宋体" w:cs="宋体" w:hint="eastAsia"/>
                <w:sz w:val="18"/>
                <w:szCs w:val="18"/>
              </w:rPr>
              <w:t>二级</w:t>
            </w:r>
          </w:p>
        </w:tc>
        <w:tc>
          <w:tcPr>
            <w:tcW w:w="2808" w:type="dxa"/>
            <w:vMerge/>
            <w:vAlign w:val="center"/>
          </w:tcPr>
          <w:p w14:paraId="33CC0013" w14:textId="77777777" w:rsidR="00725BA1" w:rsidRDefault="00725BA1">
            <w:pPr>
              <w:pStyle w:val="a6"/>
              <w:tabs>
                <w:tab w:val="left" w:pos="575"/>
              </w:tabs>
              <w:spacing w:after="0"/>
              <w:jc w:val="center"/>
              <w:rPr>
                <w:rFonts w:ascii="宋体" w:hAnsi="Times New Roman"/>
                <w:sz w:val="18"/>
                <w:szCs w:val="18"/>
              </w:rPr>
            </w:pPr>
          </w:p>
        </w:tc>
      </w:tr>
      <w:tr w:rsidR="00725BA1" w14:paraId="462454B0" w14:textId="77777777">
        <w:trPr>
          <w:jc w:val="center"/>
        </w:trPr>
        <w:tc>
          <w:tcPr>
            <w:tcW w:w="1116" w:type="dxa"/>
            <w:vAlign w:val="center"/>
          </w:tcPr>
          <w:p w14:paraId="7433EB5F" w14:textId="77777777" w:rsidR="00725BA1" w:rsidRDefault="00000000">
            <w:pPr>
              <w:pStyle w:val="a6"/>
              <w:tabs>
                <w:tab w:val="left" w:pos="575"/>
              </w:tabs>
              <w:spacing w:after="0"/>
              <w:jc w:val="left"/>
              <w:rPr>
                <w:rFonts w:ascii="宋体" w:hAnsi="Times New Roman"/>
                <w:sz w:val="18"/>
                <w:szCs w:val="18"/>
              </w:rPr>
            </w:pPr>
            <w:r>
              <w:rPr>
                <w:rFonts w:ascii="宋体" w:hAnsi="宋体" w:cs="宋体" w:hint="eastAsia"/>
                <w:sz w:val="18"/>
                <w:szCs w:val="18"/>
              </w:rPr>
              <w:t>色泽</w:t>
            </w:r>
          </w:p>
        </w:tc>
        <w:tc>
          <w:tcPr>
            <w:tcW w:w="902" w:type="dxa"/>
            <w:vAlign w:val="center"/>
          </w:tcPr>
          <w:p w14:paraId="40CBCCB1" w14:textId="77777777" w:rsidR="00725BA1" w:rsidRDefault="00000000">
            <w:pPr>
              <w:pStyle w:val="a6"/>
              <w:tabs>
                <w:tab w:val="left" w:pos="575"/>
              </w:tabs>
              <w:spacing w:after="0"/>
              <w:jc w:val="center"/>
              <w:rPr>
                <w:rFonts w:ascii="宋体" w:hAnsi="Times New Roman"/>
                <w:sz w:val="18"/>
                <w:szCs w:val="18"/>
              </w:rPr>
            </w:pPr>
            <w:r>
              <w:rPr>
                <w:rFonts w:ascii="宋体" w:hAnsi="宋体" w:cs="宋体" w:hint="eastAsia"/>
                <w:sz w:val="18"/>
                <w:szCs w:val="18"/>
              </w:rPr>
              <w:t>淡黄色</w:t>
            </w:r>
          </w:p>
        </w:tc>
        <w:tc>
          <w:tcPr>
            <w:tcW w:w="1547" w:type="dxa"/>
            <w:vAlign w:val="center"/>
          </w:tcPr>
          <w:p w14:paraId="0D4F35CD" w14:textId="77777777" w:rsidR="00725BA1" w:rsidRDefault="00000000">
            <w:pPr>
              <w:pStyle w:val="a6"/>
              <w:tabs>
                <w:tab w:val="left" w:pos="575"/>
              </w:tabs>
              <w:spacing w:after="0"/>
              <w:jc w:val="center"/>
              <w:rPr>
                <w:rFonts w:ascii="宋体" w:eastAsia="宋体" w:hAnsi="宋体" w:cs="宋体" w:hint="eastAsia"/>
                <w:sz w:val="18"/>
                <w:szCs w:val="18"/>
              </w:rPr>
            </w:pPr>
            <w:r>
              <w:rPr>
                <w:rFonts w:ascii="宋体" w:hAnsi="宋体" w:cs="宋体" w:hint="eastAsia"/>
                <w:sz w:val="18"/>
                <w:szCs w:val="18"/>
              </w:rPr>
              <w:t>浅黄色至黄色</w:t>
            </w:r>
          </w:p>
        </w:tc>
        <w:tc>
          <w:tcPr>
            <w:tcW w:w="1547" w:type="dxa"/>
            <w:vAlign w:val="center"/>
          </w:tcPr>
          <w:p w14:paraId="6D51E32C" w14:textId="77777777" w:rsidR="00725BA1" w:rsidRDefault="00000000">
            <w:pPr>
              <w:pStyle w:val="a6"/>
              <w:tabs>
                <w:tab w:val="left" w:pos="575"/>
              </w:tabs>
              <w:spacing w:after="0"/>
              <w:jc w:val="center"/>
              <w:rPr>
                <w:rFonts w:ascii="宋体" w:eastAsia="宋体" w:hAnsi="宋体" w:cs="宋体" w:hint="eastAsia"/>
                <w:sz w:val="18"/>
                <w:szCs w:val="18"/>
              </w:rPr>
            </w:pPr>
            <w:r>
              <w:rPr>
                <w:rFonts w:ascii="宋体" w:hAnsi="宋体" w:cs="宋体" w:hint="eastAsia"/>
                <w:sz w:val="18"/>
                <w:szCs w:val="18"/>
              </w:rPr>
              <w:t>黄色至棕黄色</w:t>
            </w:r>
          </w:p>
        </w:tc>
        <w:tc>
          <w:tcPr>
            <w:tcW w:w="2808" w:type="dxa"/>
            <w:vAlign w:val="center"/>
          </w:tcPr>
          <w:p w14:paraId="49EBD7C0" w14:textId="77777777" w:rsidR="00725BA1" w:rsidRDefault="00000000">
            <w:pPr>
              <w:pStyle w:val="a6"/>
              <w:tabs>
                <w:tab w:val="left" w:pos="575"/>
              </w:tabs>
              <w:spacing w:after="0"/>
              <w:jc w:val="center"/>
              <w:rPr>
                <w:rFonts w:ascii="宋体" w:hAnsi="Times New Roman"/>
                <w:sz w:val="18"/>
                <w:szCs w:val="18"/>
              </w:rPr>
            </w:pPr>
            <w:r>
              <w:rPr>
                <w:rFonts w:ascii="宋体" w:eastAsia="宋体" w:hAnsi="宋体" w:cs="宋体" w:hint="eastAsia"/>
                <w:sz w:val="18"/>
                <w:szCs w:val="18"/>
              </w:rPr>
              <w:t>GB/T 5009.37</w:t>
            </w:r>
          </w:p>
        </w:tc>
      </w:tr>
      <w:tr w:rsidR="00725BA1" w14:paraId="6FB53960" w14:textId="77777777">
        <w:trPr>
          <w:jc w:val="center"/>
        </w:trPr>
        <w:tc>
          <w:tcPr>
            <w:tcW w:w="1116" w:type="dxa"/>
            <w:vAlign w:val="center"/>
          </w:tcPr>
          <w:p w14:paraId="7711FE96" w14:textId="77777777" w:rsidR="00725BA1" w:rsidRDefault="00000000">
            <w:pPr>
              <w:pStyle w:val="a6"/>
              <w:tabs>
                <w:tab w:val="left" w:pos="575"/>
              </w:tabs>
              <w:spacing w:after="0"/>
              <w:jc w:val="left"/>
              <w:rPr>
                <w:rFonts w:ascii="宋体" w:hAnsi="Times New Roman"/>
                <w:sz w:val="18"/>
                <w:szCs w:val="18"/>
              </w:rPr>
            </w:pPr>
            <w:r>
              <w:rPr>
                <w:rFonts w:ascii="宋体" w:hAnsi="宋体" w:cs="宋体" w:hint="eastAsia"/>
                <w:sz w:val="18"/>
                <w:szCs w:val="18"/>
              </w:rPr>
              <w:t>滋味、气味</w:t>
            </w:r>
          </w:p>
        </w:tc>
        <w:tc>
          <w:tcPr>
            <w:tcW w:w="3996" w:type="dxa"/>
            <w:gridSpan w:val="3"/>
            <w:vAlign w:val="center"/>
          </w:tcPr>
          <w:p w14:paraId="7629622F" w14:textId="77777777" w:rsidR="00725BA1" w:rsidRDefault="00000000">
            <w:pPr>
              <w:pStyle w:val="a6"/>
              <w:tabs>
                <w:tab w:val="left" w:pos="575"/>
              </w:tabs>
              <w:spacing w:after="0"/>
              <w:jc w:val="center"/>
              <w:rPr>
                <w:rFonts w:ascii="宋体" w:hAnsi="Times New Roman"/>
                <w:sz w:val="18"/>
                <w:szCs w:val="18"/>
              </w:rPr>
            </w:pPr>
            <w:r>
              <w:rPr>
                <w:rFonts w:ascii="宋体" w:hAnsi="宋体" w:cs="宋体" w:hint="eastAsia"/>
                <w:sz w:val="18"/>
                <w:szCs w:val="18"/>
              </w:rPr>
              <w:t>具有本品特有的气味和滋味，无异味</w:t>
            </w:r>
          </w:p>
        </w:tc>
        <w:tc>
          <w:tcPr>
            <w:tcW w:w="2808" w:type="dxa"/>
          </w:tcPr>
          <w:p w14:paraId="1984669D"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GB/T 5525</w:t>
            </w:r>
          </w:p>
        </w:tc>
      </w:tr>
      <w:tr w:rsidR="00725BA1" w14:paraId="5B41E5C8" w14:textId="77777777">
        <w:trPr>
          <w:jc w:val="center"/>
        </w:trPr>
        <w:tc>
          <w:tcPr>
            <w:tcW w:w="1116" w:type="dxa"/>
            <w:vAlign w:val="center"/>
          </w:tcPr>
          <w:p w14:paraId="1F4ACBF7" w14:textId="77777777" w:rsidR="00725BA1" w:rsidRDefault="00000000">
            <w:pPr>
              <w:pStyle w:val="a6"/>
              <w:tabs>
                <w:tab w:val="left" w:pos="575"/>
              </w:tabs>
              <w:spacing w:after="0"/>
              <w:jc w:val="left"/>
              <w:rPr>
                <w:rFonts w:ascii="宋体" w:hAnsi="Times New Roman"/>
                <w:sz w:val="18"/>
                <w:szCs w:val="18"/>
              </w:rPr>
            </w:pPr>
            <w:r>
              <w:rPr>
                <w:rFonts w:ascii="宋体" w:hAnsi="宋体" w:cs="宋体" w:hint="eastAsia"/>
                <w:sz w:val="18"/>
                <w:szCs w:val="18"/>
              </w:rPr>
              <w:t>组织形态</w:t>
            </w:r>
          </w:p>
        </w:tc>
        <w:tc>
          <w:tcPr>
            <w:tcW w:w="3996" w:type="dxa"/>
            <w:gridSpan w:val="3"/>
            <w:vAlign w:val="center"/>
          </w:tcPr>
          <w:p w14:paraId="1A3DDF85"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具有产品应有状态，无正常视力可见的外来异物</w:t>
            </w:r>
          </w:p>
        </w:tc>
        <w:tc>
          <w:tcPr>
            <w:tcW w:w="2808" w:type="dxa"/>
          </w:tcPr>
          <w:p w14:paraId="6E586B42"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取适量试样置于50mL烧杯，在自然光下观察</w:t>
            </w:r>
          </w:p>
        </w:tc>
      </w:tr>
      <w:tr w:rsidR="00725BA1" w14:paraId="6BBB11AA" w14:textId="77777777">
        <w:trPr>
          <w:jc w:val="center"/>
        </w:trPr>
        <w:tc>
          <w:tcPr>
            <w:tcW w:w="1116" w:type="dxa"/>
            <w:vAlign w:val="center"/>
          </w:tcPr>
          <w:p w14:paraId="22252B95" w14:textId="77777777" w:rsidR="00725BA1" w:rsidRDefault="00000000">
            <w:pPr>
              <w:pStyle w:val="a6"/>
              <w:tabs>
                <w:tab w:val="left" w:pos="575"/>
              </w:tabs>
              <w:spacing w:after="0"/>
              <w:jc w:val="left"/>
              <w:rPr>
                <w:rFonts w:ascii="宋体" w:hAnsi="Times New Roman"/>
                <w:sz w:val="18"/>
                <w:szCs w:val="18"/>
              </w:rPr>
            </w:pPr>
            <w:r>
              <w:rPr>
                <w:rFonts w:ascii="宋体" w:hAnsi="宋体" w:cs="宋体" w:hint="eastAsia"/>
                <w:sz w:val="18"/>
                <w:szCs w:val="18"/>
              </w:rPr>
              <w:t>杂质</w:t>
            </w:r>
          </w:p>
        </w:tc>
        <w:tc>
          <w:tcPr>
            <w:tcW w:w="3996" w:type="dxa"/>
            <w:gridSpan w:val="3"/>
            <w:vAlign w:val="center"/>
          </w:tcPr>
          <w:p w14:paraId="7DED5CFE" w14:textId="77777777" w:rsidR="00725BA1" w:rsidRDefault="00000000">
            <w:pPr>
              <w:pStyle w:val="a6"/>
              <w:tabs>
                <w:tab w:val="left" w:pos="575"/>
              </w:tabs>
              <w:spacing w:after="0"/>
              <w:jc w:val="center"/>
              <w:rPr>
                <w:rFonts w:ascii="宋体" w:hAnsi="Times New Roman"/>
                <w:sz w:val="18"/>
                <w:szCs w:val="18"/>
              </w:rPr>
            </w:pPr>
            <w:r>
              <w:rPr>
                <w:rFonts w:ascii="宋体" w:hAnsi="宋体" w:cs="宋体" w:hint="eastAsia"/>
                <w:sz w:val="18"/>
                <w:szCs w:val="18"/>
              </w:rPr>
              <w:t>无肉眼可见的外来杂质</w:t>
            </w:r>
          </w:p>
        </w:tc>
        <w:tc>
          <w:tcPr>
            <w:tcW w:w="2808" w:type="dxa"/>
          </w:tcPr>
          <w:p w14:paraId="33B1F594"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GB/T 5525</w:t>
            </w:r>
          </w:p>
        </w:tc>
      </w:tr>
    </w:tbl>
    <w:p w14:paraId="6F26D136"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c理化要求</w:t>
      </w:r>
    </w:p>
    <w:p w14:paraId="690BBEDB" w14:textId="77777777" w:rsidR="00725BA1" w:rsidRDefault="00000000">
      <w:pPr>
        <w:pStyle w:val="a6"/>
        <w:tabs>
          <w:tab w:val="left" w:pos="575"/>
        </w:tabs>
        <w:spacing w:beforeLines="50" w:before="156" w:afterLines="50" w:after="156"/>
        <w:jc w:val="center"/>
        <w:rPr>
          <w:rFonts w:ascii="宋体" w:hAnsi="Times New Roman"/>
          <w:szCs w:val="22"/>
        </w:rPr>
      </w:pPr>
      <w:r>
        <w:rPr>
          <w:rFonts w:ascii="黑体" w:eastAsia="黑体" w:hAnsi="黑体" w:cs="黑体" w:hint="eastAsia"/>
        </w:rPr>
        <w:t>表 3</w:t>
      </w:r>
      <w:r>
        <w:rPr>
          <w:rFonts w:ascii="黑体" w:eastAsia="黑体" w:hAnsi="黑体" w:cs="黑体" w:hint="eastAsia"/>
        </w:rPr>
        <w:tab/>
        <w:t>理化指标</w:t>
      </w:r>
    </w:p>
    <w:tbl>
      <w:tblPr>
        <w:tblStyle w:val="ac"/>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117"/>
        <w:gridCol w:w="405"/>
        <w:gridCol w:w="897"/>
        <w:gridCol w:w="897"/>
        <w:gridCol w:w="899"/>
        <w:gridCol w:w="1553"/>
      </w:tblGrid>
      <w:tr w:rsidR="00725BA1" w14:paraId="4B17D8E4" w14:textId="77777777">
        <w:trPr>
          <w:jc w:val="center"/>
        </w:trPr>
        <w:tc>
          <w:tcPr>
            <w:tcW w:w="2522" w:type="dxa"/>
            <w:gridSpan w:val="2"/>
            <w:vMerge w:val="restart"/>
            <w:vAlign w:val="center"/>
          </w:tcPr>
          <w:p w14:paraId="5F94DC6A"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项目</w:t>
            </w:r>
          </w:p>
        </w:tc>
        <w:tc>
          <w:tcPr>
            <w:tcW w:w="2693" w:type="dxa"/>
            <w:gridSpan w:val="3"/>
            <w:vAlign w:val="center"/>
          </w:tcPr>
          <w:p w14:paraId="6C280064"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要求</w:t>
            </w:r>
          </w:p>
        </w:tc>
        <w:tc>
          <w:tcPr>
            <w:tcW w:w="1553" w:type="dxa"/>
            <w:vMerge w:val="restart"/>
            <w:vAlign w:val="center"/>
          </w:tcPr>
          <w:p w14:paraId="1838AA3A"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检验方法</w:t>
            </w:r>
          </w:p>
        </w:tc>
      </w:tr>
      <w:tr w:rsidR="00725BA1" w14:paraId="0BA75301" w14:textId="77777777">
        <w:trPr>
          <w:trHeight w:val="328"/>
          <w:jc w:val="center"/>
        </w:trPr>
        <w:tc>
          <w:tcPr>
            <w:tcW w:w="2522" w:type="dxa"/>
            <w:gridSpan w:val="2"/>
            <w:vMerge/>
            <w:vAlign w:val="center"/>
          </w:tcPr>
          <w:p w14:paraId="56CDE82F" w14:textId="77777777" w:rsidR="00725BA1" w:rsidRDefault="00725BA1">
            <w:pPr>
              <w:pStyle w:val="a6"/>
              <w:tabs>
                <w:tab w:val="left" w:pos="575"/>
              </w:tabs>
              <w:spacing w:after="0"/>
              <w:jc w:val="center"/>
              <w:rPr>
                <w:rFonts w:ascii="宋体" w:hAnsi="Times New Roman"/>
                <w:sz w:val="18"/>
                <w:szCs w:val="18"/>
              </w:rPr>
            </w:pPr>
          </w:p>
        </w:tc>
        <w:tc>
          <w:tcPr>
            <w:tcW w:w="897" w:type="dxa"/>
            <w:vAlign w:val="center"/>
          </w:tcPr>
          <w:p w14:paraId="1346D073"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特级</w:t>
            </w:r>
          </w:p>
        </w:tc>
        <w:tc>
          <w:tcPr>
            <w:tcW w:w="897" w:type="dxa"/>
            <w:vAlign w:val="center"/>
          </w:tcPr>
          <w:p w14:paraId="34F7C949"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一级</w:t>
            </w:r>
          </w:p>
        </w:tc>
        <w:tc>
          <w:tcPr>
            <w:tcW w:w="899" w:type="dxa"/>
            <w:vAlign w:val="center"/>
          </w:tcPr>
          <w:p w14:paraId="491A8709"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二级</w:t>
            </w:r>
          </w:p>
        </w:tc>
        <w:tc>
          <w:tcPr>
            <w:tcW w:w="1553" w:type="dxa"/>
            <w:vMerge/>
            <w:vAlign w:val="center"/>
          </w:tcPr>
          <w:p w14:paraId="5E077096" w14:textId="77777777" w:rsidR="00725BA1" w:rsidRDefault="00725BA1">
            <w:pPr>
              <w:pStyle w:val="a6"/>
              <w:tabs>
                <w:tab w:val="left" w:pos="575"/>
              </w:tabs>
              <w:spacing w:after="0"/>
              <w:jc w:val="center"/>
              <w:rPr>
                <w:rFonts w:ascii="宋体" w:hAnsi="Times New Roman"/>
                <w:sz w:val="18"/>
                <w:szCs w:val="18"/>
              </w:rPr>
            </w:pPr>
          </w:p>
        </w:tc>
      </w:tr>
      <w:tr w:rsidR="00725BA1" w14:paraId="0BC0D410" w14:textId="77777777">
        <w:trPr>
          <w:jc w:val="center"/>
        </w:trPr>
        <w:tc>
          <w:tcPr>
            <w:tcW w:w="2117" w:type="dxa"/>
            <w:tcBorders>
              <w:right w:val="nil"/>
            </w:tcBorders>
            <w:vAlign w:val="center"/>
          </w:tcPr>
          <w:p w14:paraId="4C5A7E2D"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水分及挥发物/(%)</w:t>
            </w:r>
          </w:p>
        </w:tc>
        <w:tc>
          <w:tcPr>
            <w:tcW w:w="405" w:type="dxa"/>
            <w:tcBorders>
              <w:left w:val="nil"/>
            </w:tcBorders>
            <w:vAlign w:val="center"/>
          </w:tcPr>
          <w:p w14:paraId="2E852BCB"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w:t>
            </w:r>
          </w:p>
        </w:tc>
        <w:tc>
          <w:tcPr>
            <w:tcW w:w="897" w:type="dxa"/>
            <w:vAlign w:val="center"/>
          </w:tcPr>
          <w:p w14:paraId="529F3E59"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0.08</w:t>
            </w:r>
          </w:p>
        </w:tc>
        <w:tc>
          <w:tcPr>
            <w:tcW w:w="1796" w:type="dxa"/>
            <w:gridSpan w:val="2"/>
            <w:vAlign w:val="center"/>
          </w:tcPr>
          <w:p w14:paraId="6EE27F68"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0.10</w:t>
            </w:r>
          </w:p>
        </w:tc>
        <w:tc>
          <w:tcPr>
            <w:tcW w:w="1553" w:type="dxa"/>
            <w:vAlign w:val="center"/>
          </w:tcPr>
          <w:p w14:paraId="27B62A26"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GB 5009.236</w:t>
            </w:r>
          </w:p>
        </w:tc>
      </w:tr>
      <w:tr w:rsidR="00725BA1" w14:paraId="635B90D5" w14:textId="77777777">
        <w:trPr>
          <w:jc w:val="center"/>
        </w:trPr>
        <w:tc>
          <w:tcPr>
            <w:tcW w:w="2117" w:type="dxa"/>
            <w:tcBorders>
              <w:right w:val="nil"/>
            </w:tcBorders>
            <w:vAlign w:val="center"/>
          </w:tcPr>
          <w:p w14:paraId="7F6C7F3A"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酸价(KOH)/(mg/g)</w:t>
            </w:r>
          </w:p>
        </w:tc>
        <w:tc>
          <w:tcPr>
            <w:tcW w:w="405" w:type="dxa"/>
            <w:tcBorders>
              <w:left w:val="nil"/>
            </w:tcBorders>
            <w:vAlign w:val="center"/>
          </w:tcPr>
          <w:p w14:paraId="348375F8"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w:t>
            </w:r>
          </w:p>
        </w:tc>
        <w:tc>
          <w:tcPr>
            <w:tcW w:w="897" w:type="dxa"/>
            <w:vAlign w:val="center"/>
          </w:tcPr>
          <w:p w14:paraId="3EC4325F"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0.8</w:t>
            </w:r>
          </w:p>
        </w:tc>
        <w:tc>
          <w:tcPr>
            <w:tcW w:w="897" w:type="dxa"/>
            <w:vAlign w:val="center"/>
          </w:tcPr>
          <w:p w14:paraId="0B933D43"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1.0</w:t>
            </w:r>
          </w:p>
        </w:tc>
        <w:tc>
          <w:tcPr>
            <w:tcW w:w="899" w:type="dxa"/>
            <w:vAlign w:val="center"/>
          </w:tcPr>
          <w:p w14:paraId="24BCF314"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2.9</w:t>
            </w:r>
          </w:p>
        </w:tc>
        <w:tc>
          <w:tcPr>
            <w:tcW w:w="1553" w:type="dxa"/>
            <w:vAlign w:val="center"/>
          </w:tcPr>
          <w:p w14:paraId="32D5B1AD"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GB 5009.229</w:t>
            </w:r>
          </w:p>
        </w:tc>
      </w:tr>
      <w:tr w:rsidR="00725BA1" w14:paraId="2334A36C" w14:textId="77777777">
        <w:trPr>
          <w:trHeight w:val="90"/>
          <w:jc w:val="center"/>
        </w:trPr>
        <w:tc>
          <w:tcPr>
            <w:tcW w:w="2117" w:type="dxa"/>
            <w:tcBorders>
              <w:right w:val="nil"/>
            </w:tcBorders>
            <w:vAlign w:val="center"/>
          </w:tcPr>
          <w:p w14:paraId="6FDEB3AE"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过氧化值/(g/100g)</w:t>
            </w:r>
          </w:p>
        </w:tc>
        <w:tc>
          <w:tcPr>
            <w:tcW w:w="405" w:type="dxa"/>
            <w:tcBorders>
              <w:left w:val="nil"/>
            </w:tcBorders>
            <w:vAlign w:val="center"/>
          </w:tcPr>
          <w:p w14:paraId="2BB6FB27"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w:t>
            </w:r>
          </w:p>
        </w:tc>
        <w:tc>
          <w:tcPr>
            <w:tcW w:w="2693" w:type="dxa"/>
            <w:gridSpan w:val="3"/>
            <w:vAlign w:val="center"/>
          </w:tcPr>
          <w:p w14:paraId="7B509530"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0.25</w:t>
            </w:r>
          </w:p>
        </w:tc>
        <w:tc>
          <w:tcPr>
            <w:tcW w:w="1553" w:type="dxa"/>
            <w:vAlign w:val="center"/>
          </w:tcPr>
          <w:p w14:paraId="05443447"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GB 5009.227</w:t>
            </w:r>
          </w:p>
        </w:tc>
      </w:tr>
      <w:tr w:rsidR="00725BA1" w14:paraId="7009DE4B" w14:textId="77777777">
        <w:trPr>
          <w:jc w:val="center"/>
        </w:trPr>
        <w:tc>
          <w:tcPr>
            <w:tcW w:w="2117" w:type="dxa"/>
            <w:tcBorders>
              <w:right w:val="nil"/>
            </w:tcBorders>
            <w:vAlign w:val="center"/>
          </w:tcPr>
          <w:p w14:paraId="04ED6258"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不溶性杂质/(%)</w:t>
            </w:r>
          </w:p>
        </w:tc>
        <w:tc>
          <w:tcPr>
            <w:tcW w:w="405" w:type="dxa"/>
            <w:tcBorders>
              <w:left w:val="nil"/>
            </w:tcBorders>
            <w:vAlign w:val="center"/>
          </w:tcPr>
          <w:p w14:paraId="53AB1F6D"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w:t>
            </w:r>
          </w:p>
        </w:tc>
        <w:tc>
          <w:tcPr>
            <w:tcW w:w="897" w:type="dxa"/>
            <w:vAlign w:val="center"/>
          </w:tcPr>
          <w:p w14:paraId="436B870A"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0.04</w:t>
            </w:r>
          </w:p>
        </w:tc>
        <w:tc>
          <w:tcPr>
            <w:tcW w:w="1796" w:type="dxa"/>
            <w:gridSpan w:val="2"/>
            <w:vAlign w:val="center"/>
          </w:tcPr>
          <w:p w14:paraId="4314914C" w14:textId="77777777" w:rsidR="00725BA1" w:rsidRDefault="00000000">
            <w:pPr>
              <w:pStyle w:val="a6"/>
              <w:tabs>
                <w:tab w:val="left" w:pos="575"/>
              </w:tabs>
              <w:spacing w:after="0"/>
              <w:jc w:val="center"/>
              <w:rPr>
                <w:rFonts w:ascii="宋体" w:eastAsia="宋体" w:hAnsi="Times New Roman"/>
                <w:sz w:val="18"/>
                <w:szCs w:val="18"/>
              </w:rPr>
            </w:pPr>
            <w:r>
              <w:rPr>
                <w:rFonts w:ascii="宋体" w:hAnsi="Times New Roman" w:hint="eastAsia"/>
                <w:sz w:val="18"/>
                <w:szCs w:val="18"/>
              </w:rPr>
              <w:t>0.05</w:t>
            </w:r>
          </w:p>
        </w:tc>
        <w:tc>
          <w:tcPr>
            <w:tcW w:w="1553" w:type="dxa"/>
            <w:vAlign w:val="center"/>
          </w:tcPr>
          <w:p w14:paraId="4987BB37" w14:textId="77777777" w:rsidR="00725BA1" w:rsidRDefault="00000000">
            <w:pPr>
              <w:pStyle w:val="a6"/>
              <w:tabs>
                <w:tab w:val="left" w:pos="575"/>
              </w:tabs>
              <w:spacing w:after="0"/>
              <w:jc w:val="center"/>
              <w:rPr>
                <w:rFonts w:ascii="宋体" w:hAnsi="Times New Roman"/>
                <w:sz w:val="18"/>
                <w:szCs w:val="18"/>
              </w:rPr>
            </w:pPr>
            <w:r>
              <w:rPr>
                <w:rFonts w:ascii="宋体" w:hAnsi="Times New Roman" w:hint="eastAsia"/>
                <w:sz w:val="18"/>
                <w:szCs w:val="18"/>
              </w:rPr>
              <w:t>GB/T 15688</w:t>
            </w:r>
          </w:p>
        </w:tc>
      </w:tr>
    </w:tbl>
    <w:p w14:paraId="44FEB6B9"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d营养成分要求</w:t>
      </w:r>
    </w:p>
    <w:p w14:paraId="749A12FA" w14:textId="77777777" w:rsidR="00725BA1" w:rsidRDefault="00000000">
      <w:pPr>
        <w:pStyle w:val="a6"/>
        <w:tabs>
          <w:tab w:val="left" w:pos="575"/>
        </w:tabs>
        <w:spacing w:beforeLines="50" w:before="156" w:afterLines="50" w:after="156"/>
        <w:jc w:val="center"/>
        <w:rPr>
          <w:rFonts w:ascii="黑体" w:eastAsia="黑体" w:hAnsi="黑体" w:cs="黑体" w:hint="eastAsia"/>
          <w:szCs w:val="22"/>
        </w:rPr>
      </w:pPr>
      <w:r>
        <w:rPr>
          <w:rFonts w:ascii="黑体" w:eastAsia="黑体" w:hAnsi="黑体" w:cs="黑体" w:hint="eastAsia"/>
          <w:szCs w:val="22"/>
        </w:rPr>
        <w:t>营养成分指标</w:t>
      </w:r>
    </w:p>
    <w:tbl>
      <w:tblPr>
        <w:tblStyle w:val="TableNormal"/>
        <w:tblW w:w="3654"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8"/>
        <w:gridCol w:w="508"/>
        <w:gridCol w:w="651"/>
        <w:gridCol w:w="651"/>
        <w:gridCol w:w="657"/>
        <w:gridCol w:w="2074"/>
      </w:tblGrid>
      <w:tr w:rsidR="00725BA1" w14:paraId="766BD601" w14:textId="77777777">
        <w:trPr>
          <w:trHeight w:val="213"/>
          <w:jc w:val="center"/>
        </w:trPr>
        <w:tc>
          <w:tcPr>
            <w:tcW w:w="2237" w:type="pct"/>
            <w:gridSpan w:val="2"/>
            <w:vMerge w:val="restart"/>
            <w:tcBorders>
              <w:top w:val="single" w:sz="8" w:space="0" w:color="000000"/>
              <w:left w:val="single" w:sz="8" w:space="0" w:color="000000"/>
            </w:tcBorders>
            <w:vAlign w:val="center"/>
          </w:tcPr>
          <w:p w14:paraId="55D708E4" w14:textId="77777777" w:rsidR="00725BA1" w:rsidRDefault="00000000">
            <w:pPr>
              <w:jc w:val="center"/>
              <w:rPr>
                <w:rFonts w:ascii="宋体" w:hAnsi="宋体" w:cs="宋体" w:hint="eastAsia"/>
                <w:sz w:val="18"/>
                <w:szCs w:val="18"/>
              </w:rPr>
            </w:pPr>
            <w:r>
              <w:rPr>
                <w:rFonts w:ascii="宋体" w:hAnsi="宋体" w:cs="宋体" w:hint="eastAsia"/>
                <w:sz w:val="18"/>
                <w:szCs w:val="18"/>
              </w:rPr>
              <w:t>项目</w:t>
            </w:r>
          </w:p>
        </w:tc>
        <w:tc>
          <w:tcPr>
            <w:tcW w:w="1342" w:type="pct"/>
            <w:gridSpan w:val="3"/>
            <w:tcBorders>
              <w:top w:val="single" w:sz="8" w:space="0" w:color="000000"/>
              <w:bottom w:val="single" w:sz="4" w:space="0" w:color="auto"/>
            </w:tcBorders>
            <w:vAlign w:val="center"/>
          </w:tcPr>
          <w:p w14:paraId="357CE746"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要求</w:t>
            </w:r>
          </w:p>
        </w:tc>
        <w:tc>
          <w:tcPr>
            <w:tcW w:w="1420" w:type="pct"/>
            <w:vMerge w:val="restart"/>
            <w:tcBorders>
              <w:top w:val="single" w:sz="8" w:space="0" w:color="000000"/>
              <w:right w:val="single" w:sz="8" w:space="0" w:color="000000"/>
            </w:tcBorders>
            <w:vAlign w:val="center"/>
          </w:tcPr>
          <w:p w14:paraId="13C1371B" w14:textId="77777777" w:rsidR="00725BA1" w:rsidRDefault="00000000">
            <w:pPr>
              <w:jc w:val="center"/>
              <w:rPr>
                <w:rFonts w:ascii="宋体" w:hAnsi="宋体" w:cs="宋体" w:hint="eastAsia"/>
                <w:sz w:val="18"/>
                <w:szCs w:val="18"/>
              </w:rPr>
            </w:pPr>
            <w:r>
              <w:rPr>
                <w:rFonts w:ascii="宋体" w:hAnsi="宋体" w:cs="宋体" w:hint="eastAsia"/>
                <w:sz w:val="18"/>
                <w:szCs w:val="18"/>
              </w:rPr>
              <w:t>检验方法</w:t>
            </w:r>
          </w:p>
        </w:tc>
      </w:tr>
      <w:tr w:rsidR="00725BA1" w14:paraId="052AA49C" w14:textId="77777777">
        <w:trPr>
          <w:trHeight w:val="229"/>
          <w:jc w:val="center"/>
        </w:trPr>
        <w:tc>
          <w:tcPr>
            <w:tcW w:w="2237" w:type="pct"/>
            <w:gridSpan w:val="2"/>
            <w:vMerge/>
            <w:tcBorders>
              <w:left w:val="single" w:sz="8" w:space="0" w:color="000000"/>
              <w:bottom w:val="single" w:sz="2" w:space="0" w:color="auto"/>
            </w:tcBorders>
            <w:vAlign w:val="center"/>
          </w:tcPr>
          <w:p w14:paraId="1528EBB8" w14:textId="77777777" w:rsidR="00725BA1" w:rsidRDefault="00725BA1">
            <w:pPr>
              <w:jc w:val="center"/>
              <w:rPr>
                <w:rFonts w:ascii="宋体" w:hAnsi="宋体" w:cs="宋体" w:hint="eastAsia"/>
                <w:sz w:val="18"/>
                <w:szCs w:val="18"/>
              </w:rPr>
            </w:pPr>
          </w:p>
        </w:tc>
        <w:tc>
          <w:tcPr>
            <w:tcW w:w="446" w:type="pct"/>
            <w:tcBorders>
              <w:top w:val="single" w:sz="4" w:space="0" w:color="auto"/>
              <w:bottom w:val="single" w:sz="4" w:space="0" w:color="auto"/>
              <w:right w:val="single" w:sz="4" w:space="0" w:color="auto"/>
            </w:tcBorders>
            <w:vAlign w:val="center"/>
          </w:tcPr>
          <w:p w14:paraId="415F4215" w14:textId="77777777" w:rsidR="00725BA1" w:rsidRDefault="00000000">
            <w:pPr>
              <w:pStyle w:val="a6"/>
              <w:tabs>
                <w:tab w:val="left" w:pos="575"/>
              </w:tabs>
              <w:spacing w:after="0"/>
              <w:jc w:val="center"/>
              <w:rPr>
                <w:rFonts w:ascii="宋体" w:hAnsi="宋体" w:cs="宋体" w:hint="eastAsia"/>
                <w:sz w:val="18"/>
                <w:szCs w:val="18"/>
              </w:rPr>
            </w:pPr>
            <w:r>
              <w:rPr>
                <w:rFonts w:ascii="宋体" w:hAnsi="Times New Roman" w:hint="eastAsia"/>
                <w:sz w:val="18"/>
                <w:szCs w:val="18"/>
              </w:rPr>
              <w:t>特级</w:t>
            </w:r>
          </w:p>
        </w:tc>
        <w:tc>
          <w:tcPr>
            <w:tcW w:w="446" w:type="pct"/>
            <w:tcBorders>
              <w:top w:val="single" w:sz="4" w:space="0" w:color="auto"/>
              <w:bottom w:val="single" w:sz="4" w:space="0" w:color="auto"/>
              <w:right w:val="single" w:sz="4" w:space="0" w:color="auto"/>
            </w:tcBorders>
            <w:vAlign w:val="center"/>
          </w:tcPr>
          <w:p w14:paraId="37AA965B" w14:textId="77777777" w:rsidR="00725BA1" w:rsidRDefault="00000000">
            <w:pPr>
              <w:pStyle w:val="a6"/>
              <w:tabs>
                <w:tab w:val="left" w:pos="575"/>
              </w:tabs>
              <w:spacing w:after="0"/>
              <w:jc w:val="center"/>
              <w:rPr>
                <w:rFonts w:ascii="宋体" w:hAnsi="宋体" w:cs="宋体" w:hint="eastAsia"/>
                <w:sz w:val="18"/>
                <w:szCs w:val="18"/>
              </w:rPr>
            </w:pPr>
            <w:r>
              <w:rPr>
                <w:rFonts w:ascii="宋体" w:hAnsi="Times New Roman" w:hint="eastAsia"/>
                <w:sz w:val="18"/>
                <w:szCs w:val="18"/>
              </w:rPr>
              <w:t>一级</w:t>
            </w:r>
          </w:p>
        </w:tc>
        <w:tc>
          <w:tcPr>
            <w:tcW w:w="448" w:type="pct"/>
            <w:tcBorders>
              <w:top w:val="single" w:sz="4" w:space="0" w:color="auto"/>
              <w:bottom w:val="single" w:sz="4" w:space="0" w:color="auto"/>
              <w:right w:val="single" w:sz="4" w:space="0" w:color="auto"/>
            </w:tcBorders>
            <w:vAlign w:val="center"/>
          </w:tcPr>
          <w:p w14:paraId="56A8D918" w14:textId="77777777" w:rsidR="00725BA1" w:rsidRDefault="00000000">
            <w:pPr>
              <w:pStyle w:val="a6"/>
              <w:tabs>
                <w:tab w:val="left" w:pos="575"/>
              </w:tabs>
              <w:spacing w:after="0"/>
              <w:jc w:val="center"/>
              <w:rPr>
                <w:rFonts w:ascii="宋体" w:hAnsi="宋体" w:cs="宋体" w:hint="eastAsia"/>
                <w:sz w:val="18"/>
                <w:szCs w:val="18"/>
              </w:rPr>
            </w:pPr>
            <w:r>
              <w:rPr>
                <w:rFonts w:ascii="宋体" w:hAnsi="Times New Roman" w:hint="eastAsia"/>
                <w:sz w:val="18"/>
                <w:szCs w:val="18"/>
              </w:rPr>
              <w:t>二级</w:t>
            </w:r>
          </w:p>
        </w:tc>
        <w:tc>
          <w:tcPr>
            <w:tcW w:w="1420" w:type="pct"/>
            <w:vMerge/>
            <w:tcBorders>
              <w:bottom w:val="single" w:sz="4" w:space="0" w:color="auto"/>
              <w:right w:val="single" w:sz="8" w:space="0" w:color="000000"/>
            </w:tcBorders>
            <w:vAlign w:val="center"/>
          </w:tcPr>
          <w:p w14:paraId="513541F4" w14:textId="77777777" w:rsidR="00725BA1" w:rsidRDefault="00725BA1">
            <w:pPr>
              <w:jc w:val="center"/>
              <w:rPr>
                <w:rFonts w:ascii="宋体" w:hAnsi="宋体" w:cs="宋体" w:hint="eastAsia"/>
                <w:sz w:val="18"/>
                <w:szCs w:val="18"/>
              </w:rPr>
            </w:pPr>
          </w:p>
        </w:tc>
      </w:tr>
      <w:tr w:rsidR="00725BA1" w14:paraId="664FB9F8" w14:textId="77777777">
        <w:trPr>
          <w:trHeight w:val="229"/>
          <w:jc w:val="center"/>
        </w:trPr>
        <w:tc>
          <w:tcPr>
            <w:tcW w:w="1889" w:type="pct"/>
            <w:tcBorders>
              <w:top w:val="single" w:sz="2" w:space="0" w:color="auto"/>
              <w:left w:val="single" w:sz="8" w:space="0" w:color="000000"/>
              <w:right w:val="nil"/>
            </w:tcBorders>
            <w:vAlign w:val="center"/>
          </w:tcPr>
          <w:p w14:paraId="21FDE458" w14:textId="77777777" w:rsidR="00725BA1" w:rsidRDefault="00000000">
            <w:pPr>
              <w:ind w:firstLineChars="100" w:firstLine="180"/>
              <w:rPr>
                <w:rFonts w:ascii="Times New Roman" w:hAnsi="Times New Roman" w:cs="Times New Roman"/>
                <w:sz w:val="18"/>
                <w:szCs w:val="18"/>
              </w:rPr>
            </w:pPr>
            <w:r>
              <w:rPr>
                <w:rFonts w:ascii="Times New Roman" w:hAnsi="Times New Roman" w:cs="Times New Roman"/>
                <w:sz w:val="18"/>
                <w:szCs w:val="18"/>
              </w:rPr>
              <w:t>维生素</w:t>
            </w:r>
            <w:r>
              <w:rPr>
                <w:rFonts w:ascii="Times New Roman" w:hAnsi="Times New Roman" w:cs="Times New Roman"/>
                <w:sz w:val="18"/>
                <w:szCs w:val="18"/>
              </w:rPr>
              <w:t>E</w:t>
            </w:r>
            <w:r>
              <w:rPr>
                <w:rFonts w:ascii="Times New Roman" w:hAnsi="Times New Roman" w:cs="Times New Roman"/>
                <w:sz w:val="18"/>
                <w:szCs w:val="18"/>
              </w:rPr>
              <w:t>总量</w:t>
            </w:r>
            <w:r>
              <w:rPr>
                <w:rFonts w:ascii="Times New Roman" w:hAnsi="Times New Roman" w:cs="Times New Roman"/>
                <w:sz w:val="18"/>
                <w:szCs w:val="18"/>
              </w:rPr>
              <w:t>(mg/100g)</w:t>
            </w:r>
          </w:p>
        </w:tc>
        <w:tc>
          <w:tcPr>
            <w:tcW w:w="348" w:type="pct"/>
            <w:tcBorders>
              <w:top w:val="single" w:sz="2" w:space="0" w:color="auto"/>
              <w:left w:val="nil"/>
            </w:tcBorders>
            <w:vAlign w:val="center"/>
          </w:tcPr>
          <w:p w14:paraId="242DC0BD"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w:t>
            </w:r>
          </w:p>
        </w:tc>
        <w:tc>
          <w:tcPr>
            <w:tcW w:w="446" w:type="pct"/>
            <w:tcBorders>
              <w:top w:val="single" w:sz="4" w:space="0" w:color="auto"/>
            </w:tcBorders>
            <w:vAlign w:val="center"/>
          </w:tcPr>
          <w:p w14:paraId="0A47D20E"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25</w:t>
            </w:r>
          </w:p>
        </w:tc>
        <w:tc>
          <w:tcPr>
            <w:tcW w:w="446" w:type="pct"/>
            <w:tcBorders>
              <w:top w:val="single" w:sz="4" w:space="0" w:color="auto"/>
            </w:tcBorders>
            <w:vAlign w:val="center"/>
          </w:tcPr>
          <w:p w14:paraId="2BE6ED2D"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20</w:t>
            </w:r>
          </w:p>
        </w:tc>
        <w:tc>
          <w:tcPr>
            <w:tcW w:w="448" w:type="pct"/>
            <w:tcBorders>
              <w:top w:val="single" w:sz="4" w:space="0" w:color="auto"/>
            </w:tcBorders>
            <w:vAlign w:val="center"/>
          </w:tcPr>
          <w:p w14:paraId="2F167015"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18</w:t>
            </w:r>
          </w:p>
        </w:tc>
        <w:tc>
          <w:tcPr>
            <w:tcW w:w="1420" w:type="pct"/>
            <w:tcBorders>
              <w:top w:val="single" w:sz="4" w:space="0" w:color="auto"/>
              <w:right w:val="single" w:sz="8" w:space="0" w:color="000000"/>
            </w:tcBorders>
            <w:vAlign w:val="center"/>
          </w:tcPr>
          <w:p w14:paraId="005209D4" w14:textId="77777777" w:rsidR="00725BA1" w:rsidRDefault="00000000">
            <w:pPr>
              <w:jc w:val="center"/>
              <w:rPr>
                <w:rFonts w:ascii="宋体" w:eastAsia="宋体" w:hAnsi="宋体" w:cs="宋体" w:hint="eastAsia"/>
                <w:sz w:val="18"/>
                <w:szCs w:val="18"/>
              </w:rPr>
            </w:pPr>
            <w:r>
              <w:rPr>
                <w:rFonts w:ascii="宋体" w:hAnsi="Times New Roman" w:hint="eastAsia"/>
                <w:sz w:val="18"/>
                <w:szCs w:val="18"/>
              </w:rPr>
              <w:t>GB/T 26635</w:t>
            </w:r>
          </w:p>
        </w:tc>
      </w:tr>
      <w:tr w:rsidR="00725BA1" w14:paraId="32E676C8" w14:textId="77777777">
        <w:trPr>
          <w:trHeight w:val="229"/>
          <w:jc w:val="center"/>
        </w:trPr>
        <w:tc>
          <w:tcPr>
            <w:tcW w:w="1889" w:type="pct"/>
            <w:tcBorders>
              <w:left w:val="single" w:sz="8" w:space="0" w:color="000000"/>
              <w:right w:val="nil"/>
            </w:tcBorders>
            <w:vAlign w:val="center"/>
          </w:tcPr>
          <w:p w14:paraId="2DDB2937" w14:textId="77777777" w:rsidR="00725BA1" w:rsidRDefault="00000000">
            <w:pPr>
              <w:ind w:firstLineChars="100" w:firstLine="180"/>
              <w:rPr>
                <w:rFonts w:ascii="Times New Roman" w:hAnsi="Times New Roman" w:cs="Times New Roman"/>
                <w:sz w:val="18"/>
                <w:szCs w:val="18"/>
              </w:rPr>
            </w:pPr>
            <w:r>
              <w:rPr>
                <w:rFonts w:ascii="Times New Roman" w:hAnsi="Times New Roman" w:cs="Times New Roman"/>
                <w:sz w:val="18"/>
                <w:szCs w:val="18"/>
              </w:rPr>
              <w:t>甾醇</w:t>
            </w:r>
            <w:r>
              <w:rPr>
                <w:rFonts w:ascii="Times New Roman" w:hAnsi="Times New Roman" w:cs="Times New Roman"/>
                <w:sz w:val="18"/>
                <w:szCs w:val="18"/>
              </w:rPr>
              <w:t>(mg/100g)</w:t>
            </w:r>
          </w:p>
        </w:tc>
        <w:tc>
          <w:tcPr>
            <w:tcW w:w="348" w:type="pct"/>
            <w:tcBorders>
              <w:left w:val="nil"/>
            </w:tcBorders>
            <w:vAlign w:val="center"/>
          </w:tcPr>
          <w:p w14:paraId="4BC8E943"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w:t>
            </w:r>
          </w:p>
        </w:tc>
        <w:tc>
          <w:tcPr>
            <w:tcW w:w="446" w:type="pct"/>
            <w:vAlign w:val="center"/>
          </w:tcPr>
          <w:p w14:paraId="75A997B6"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200</w:t>
            </w:r>
          </w:p>
        </w:tc>
        <w:tc>
          <w:tcPr>
            <w:tcW w:w="446" w:type="pct"/>
            <w:vAlign w:val="center"/>
          </w:tcPr>
          <w:p w14:paraId="39E950FB"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150</w:t>
            </w:r>
          </w:p>
        </w:tc>
        <w:tc>
          <w:tcPr>
            <w:tcW w:w="448" w:type="pct"/>
            <w:vAlign w:val="center"/>
          </w:tcPr>
          <w:p w14:paraId="7936C96D" w14:textId="77777777" w:rsidR="00725BA1" w:rsidRDefault="00000000">
            <w:pPr>
              <w:jc w:val="center"/>
              <w:rPr>
                <w:rFonts w:ascii="宋体" w:eastAsia="宋体" w:hAnsi="宋体" w:cs="宋体" w:hint="eastAsia"/>
                <w:sz w:val="18"/>
                <w:szCs w:val="18"/>
              </w:rPr>
            </w:pPr>
            <w:r>
              <w:rPr>
                <w:rFonts w:ascii="宋体" w:hAnsi="宋体" w:cs="宋体" w:hint="eastAsia"/>
                <w:sz w:val="18"/>
                <w:szCs w:val="18"/>
              </w:rPr>
              <w:t>100</w:t>
            </w:r>
          </w:p>
        </w:tc>
        <w:tc>
          <w:tcPr>
            <w:tcW w:w="1420" w:type="pct"/>
            <w:tcBorders>
              <w:right w:val="single" w:sz="8" w:space="0" w:color="000000"/>
            </w:tcBorders>
            <w:vAlign w:val="center"/>
          </w:tcPr>
          <w:p w14:paraId="062E224C" w14:textId="77777777" w:rsidR="00725BA1" w:rsidRDefault="00000000">
            <w:pPr>
              <w:jc w:val="center"/>
              <w:rPr>
                <w:rFonts w:ascii="宋体" w:hAnsi="宋体" w:cs="宋体" w:hint="eastAsia"/>
                <w:sz w:val="18"/>
                <w:szCs w:val="18"/>
              </w:rPr>
            </w:pPr>
            <w:r>
              <w:rPr>
                <w:rFonts w:ascii="宋体" w:hAnsi="Times New Roman" w:hint="eastAsia"/>
                <w:sz w:val="18"/>
                <w:szCs w:val="18"/>
              </w:rPr>
              <w:t>GB/T 25223</w:t>
            </w:r>
          </w:p>
        </w:tc>
      </w:tr>
      <w:tr w:rsidR="00725BA1" w14:paraId="445F195D" w14:textId="77777777">
        <w:trPr>
          <w:trHeight w:val="238"/>
          <w:jc w:val="center"/>
        </w:trPr>
        <w:tc>
          <w:tcPr>
            <w:tcW w:w="5000" w:type="pct"/>
            <w:gridSpan w:val="6"/>
            <w:tcBorders>
              <w:left w:val="single" w:sz="8" w:space="0" w:color="000000"/>
              <w:bottom w:val="single" w:sz="8" w:space="0" w:color="000000"/>
              <w:right w:val="single" w:sz="8" w:space="0" w:color="000000"/>
            </w:tcBorders>
            <w:vAlign w:val="center"/>
          </w:tcPr>
          <w:p w14:paraId="34693D3D" w14:textId="77777777" w:rsidR="00725BA1" w:rsidRDefault="00000000">
            <w:pPr>
              <w:rPr>
                <w:rFonts w:ascii="宋体" w:eastAsia="宋体" w:hAnsi="宋体" w:cs="宋体" w:hint="eastAsia"/>
                <w:sz w:val="18"/>
                <w:szCs w:val="18"/>
              </w:rPr>
            </w:pPr>
            <w:r>
              <w:rPr>
                <w:rFonts w:ascii="宋体" w:hAnsi="宋体" w:cs="宋体" w:hint="eastAsia"/>
                <w:sz w:val="18"/>
                <w:szCs w:val="18"/>
              </w:rPr>
              <w:t>注:本表检测项目为非必要检测，有需求时检测。</w:t>
            </w:r>
          </w:p>
        </w:tc>
      </w:tr>
    </w:tbl>
    <w:p w14:paraId="7A56B10A" w14:textId="77777777" w:rsidR="00725BA1" w:rsidRDefault="00725BA1">
      <w:pPr>
        <w:snapToGrid w:val="0"/>
        <w:spacing w:line="360" w:lineRule="auto"/>
        <w:ind w:firstLine="480"/>
        <w:jc w:val="left"/>
        <w:rPr>
          <w:rFonts w:asciiTheme="minorEastAsia" w:hAnsiTheme="minorEastAsia" w:cs="Times New Roman" w:hint="eastAsia"/>
          <w:b/>
          <w:bCs/>
          <w:kern w:val="0"/>
          <w:sz w:val="24"/>
          <w:szCs w:val="21"/>
        </w:rPr>
      </w:pPr>
    </w:p>
    <w:p w14:paraId="322D5D9A"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e食品安全要求</w:t>
      </w:r>
    </w:p>
    <w:p w14:paraId="671443CF"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污染物限量应符合 GB 2762的规定。</w:t>
      </w:r>
    </w:p>
    <w:p w14:paraId="32DD1459"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真菌毒素限量应符合GB 2761的规定。</w:t>
      </w:r>
    </w:p>
    <w:p w14:paraId="339C8C60"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kern w:val="0"/>
          <w:sz w:val="24"/>
          <w:szCs w:val="21"/>
        </w:rPr>
        <w:t>农药残留限量应符合GB 2763的规定。</w:t>
      </w:r>
    </w:p>
    <w:p w14:paraId="61E678DF" w14:textId="77777777" w:rsidR="00725BA1" w:rsidRDefault="00000000">
      <w:pPr>
        <w:snapToGrid w:val="0"/>
        <w:spacing w:line="360" w:lineRule="auto"/>
        <w:ind w:firstLineChars="200" w:firstLine="482"/>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（三）标志、包装、运输、贮存</w:t>
      </w:r>
    </w:p>
    <w:p w14:paraId="00FE3B4C"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lastRenderedPageBreak/>
        <w:t>a标志</w:t>
      </w:r>
    </w:p>
    <w:p w14:paraId="7FE85004"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预包装产品的标签应符合GB 7718的规定。</w:t>
      </w:r>
    </w:p>
    <w:p w14:paraId="773B5FFB"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预包装产品的营养标签应符合GB 28050的规定。</w:t>
      </w:r>
    </w:p>
    <w:p w14:paraId="05688008"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包装储运标识应符合GB/T 191的规定。</w:t>
      </w:r>
    </w:p>
    <w:p w14:paraId="150457D0"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b包装</w:t>
      </w:r>
    </w:p>
    <w:p w14:paraId="62A9786D"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包装材料应符合相关食品安全国家标准的要求。内包装应封口严密，防止受潮。外包装宜采用双瓦楞纸箱，黏胶或胶带封箱。</w:t>
      </w:r>
    </w:p>
    <w:p w14:paraId="1A7DD616"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c运输</w:t>
      </w:r>
    </w:p>
    <w:p w14:paraId="688ADC1D"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运输核桃油产品的工具、车辆应清洁、卫生、防雨、无污染物。运输产品过程中，应防止受潮、日晒、虫害、有害物质的污染及其他损害，装卸时应避免机械损伤。</w:t>
      </w:r>
    </w:p>
    <w:p w14:paraId="322B215F" w14:textId="77777777" w:rsidR="00725BA1" w:rsidRDefault="00000000">
      <w:pPr>
        <w:snapToGrid w:val="0"/>
        <w:spacing w:line="360" w:lineRule="auto"/>
        <w:ind w:firstLine="480"/>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d贮存</w:t>
      </w:r>
    </w:p>
    <w:p w14:paraId="3BAC1560" w14:textId="77777777" w:rsidR="00725BA1" w:rsidRDefault="00000000">
      <w:pPr>
        <w:snapToGrid w:val="0"/>
        <w:spacing w:line="360" w:lineRule="auto"/>
        <w:ind w:firstLineChars="200" w:firstLine="480"/>
        <w:jc w:val="lef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核桃油产品应在阴凉、干燥、通风、无鼠虫害的室内存放，不应露天堆放。产品堆放应有垫板，离地10 cm以上，离墙20 cm以上。且产品不应与有毒、有害、有异味、易腐败变质或潮湿的物品混放。</w:t>
      </w:r>
    </w:p>
    <w:p w14:paraId="43B67491" w14:textId="77777777" w:rsidR="00725BA1" w:rsidRDefault="00000000">
      <w:pPr>
        <w:snapToGrid w:val="0"/>
        <w:spacing w:line="360" w:lineRule="auto"/>
        <w:jc w:val="left"/>
        <w:rPr>
          <w:rFonts w:asciiTheme="minorEastAsia" w:hAnsiTheme="minorEastAsia" w:cs="Times New Roman" w:hint="eastAsia"/>
          <w:b/>
          <w:bCs/>
          <w:kern w:val="0"/>
          <w:sz w:val="24"/>
          <w:szCs w:val="21"/>
        </w:rPr>
      </w:pPr>
      <w:r>
        <w:rPr>
          <w:rFonts w:asciiTheme="minorEastAsia" w:hAnsiTheme="minorEastAsia" w:cs="Times New Roman" w:hint="eastAsia"/>
          <w:b/>
          <w:bCs/>
          <w:kern w:val="0"/>
          <w:sz w:val="24"/>
          <w:szCs w:val="21"/>
        </w:rPr>
        <w:t>六、规范性引用文件的说明</w:t>
      </w:r>
    </w:p>
    <w:p w14:paraId="49A2BAFD" w14:textId="77777777" w:rsidR="00725BA1" w:rsidRDefault="00000000">
      <w:pPr>
        <w:kinsoku w:val="0"/>
        <w:overflowPunct w:val="0"/>
        <w:autoSpaceDE w:val="0"/>
        <w:autoSpaceDN w:val="0"/>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《核桃油》编制组通过大量收集已有的同类国家行业和地方标准，经喀什光华现代农业有限公司组织各方专家充分论证，决定GB 149641、GB 2761、GB 2762、GB 2763、GB 5009.37/236/227/229/236作为规范性引用文件纳入本标准。在引用规范性文件过程中，编制组本着一个文件说清楚一个核桃油制备生产的原则，尽量采用原文引用而非标准代号引用，这样一个文件就能说明一个问题，无需再查寻“规范性引用文件”的原文件。</w:t>
      </w:r>
    </w:p>
    <w:p w14:paraId="13F453C0" w14:textId="77777777" w:rsidR="00725BA1" w:rsidRDefault="00000000">
      <w:pPr>
        <w:widowControl/>
        <w:spacing w:beforeLines="20" w:before="62" w:afterLines="20" w:after="62" w:line="360" w:lineRule="auto"/>
        <w:rPr>
          <w:rFonts w:asciiTheme="minorEastAsia" w:hAnsiTheme="minorEastAsia" w:cs="黑体" w:hint="eastAsia"/>
          <w:b/>
          <w:bCs/>
          <w:kern w:val="0"/>
          <w:sz w:val="24"/>
          <w:szCs w:val="21"/>
        </w:rPr>
      </w:pPr>
      <w:r>
        <w:rPr>
          <w:rFonts w:asciiTheme="minorEastAsia" w:hAnsiTheme="minorEastAsia" w:cs="黑体" w:hint="eastAsia"/>
          <w:b/>
          <w:bCs/>
          <w:kern w:val="0"/>
          <w:sz w:val="24"/>
          <w:szCs w:val="21"/>
        </w:rPr>
        <w:t>七、主要内容的说明</w:t>
      </w:r>
    </w:p>
    <w:p w14:paraId="1F3D961D" w14:textId="77777777" w:rsidR="00725BA1" w:rsidRDefault="00000000">
      <w:pPr>
        <w:widowControl/>
        <w:spacing w:beforeLines="50" w:before="156" w:afterLines="50" w:after="156"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1）本标准文件的主要内容包括：核桃油的制备生产技术、生产加工过程中的卫生要求、检验方法、检测规则、标志、标签、包装、运输及贮存、保质期等方面进行规定，适用于以核桃</w:t>
      </w:r>
      <w:proofErr w:type="gramStart"/>
      <w:r>
        <w:rPr>
          <w:rFonts w:asciiTheme="minorEastAsia" w:hAnsiTheme="minorEastAsia" w:cs="Times New Roman" w:hint="eastAsia"/>
          <w:kern w:val="0"/>
          <w:sz w:val="24"/>
          <w:szCs w:val="21"/>
        </w:rPr>
        <w:t>粕</w:t>
      </w:r>
      <w:proofErr w:type="gramEnd"/>
      <w:r>
        <w:rPr>
          <w:rFonts w:asciiTheme="minorEastAsia" w:hAnsiTheme="minorEastAsia" w:cs="Times New Roman" w:hint="eastAsia"/>
          <w:kern w:val="0"/>
          <w:sz w:val="24"/>
          <w:szCs w:val="21"/>
        </w:rPr>
        <w:t>或核桃蛋白为原料，生产的食用核桃</w:t>
      </w:r>
      <w:proofErr w:type="gramStart"/>
      <w:r>
        <w:rPr>
          <w:rFonts w:asciiTheme="minorEastAsia" w:hAnsiTheme="minorEastAsia" w:cs="Times New Roman" w:hint="eastAsia"/>
          <w:kern w:val="0"/>
          <w:sz w:val="24"/>
          <w:szCs w:val="21"/>
        </w:rPr>
        <w:t>油商品</w:t>
      </w:r>
      <w:proofErr w:type="gramEnd"/>
      <w:r>
        <w:rPr>
          <w:rFonts w:asciiTheme="minorEastAsia" w:hAnsiTheme="minorEastAsia" w:cs="Times New Roman" w:hint="eastAsia"/>
          <w:kern w:val="0"/>
          <w:sz w:val="24"/>
          <w:szCs w:val="21"/>
        </w:rPr>
        <w:t>以及核桃油产品生产、检验和销售。</w:t>
      </w:r>
    </w:p>
    <w:p w14:paraId="221E615D" w14:textId="77777777" w:rsidR="00725BA1" w:rsidRDefault="00000000">
      <w:pPr>
        <w:snapToGrid w:val="0"/>
        <w:spacing w:line="360" w:lineRule="auto"/>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2）本标准中原辅料、加工工艺流程关键参数、感官要求、理化指标、污染物限量等主要技术要求，主要依据GB 149641、GB 2761、GB 2762、GB 2763、GB 5009.37/236/227/229/236确定指标。</w:t>
      </w:r>
    </w:p>
    <w:p w14:paraId="284ABF50" w14:textId="77777777" w:rsidR="00725BA1" w:rsidRDefault="00000000">
      <w:pPr>
        <w:snapToGrid w:val="0"/>
        <w:spacing w:line="360" w:lineRule="auto"/>
        <w:rPr>
          <w:rFonts w:asciiTheme="minorEastAsia" w:hAnsiTheme="minorEastAsia" w:cs="Times New Roman" w:hint="eastAsia"/>
          <w:b/>
          <w:kern w:val="0"/>
          <w:sz w:val="24"/>
          <w:szCs w:val="21"/>
        </w:rPr>
      </w:pPr>
      <w:r>
        <w:rPr>
          <w:rFonts w:asciiTheme="minorEastAsia" w:hAnsiTheme="minorEastAsia" w:cs="Times New Roman" w:hint="eastAsia"/>
          <w:b/>
          <w:kern w:val="0"/>
          <w:sz w:val="24"/>
          <w:szCs w:val="21"/>
        </w:rPr>
        <w:t>八、征求意见处理结果</w:t>
      </w:r>
    </w:p>
    <w:p w14:paraId="569A2585" w14:textId="77777777" w:rsidR="00725BA1" w:rsidRDefault="00000000">
      <w:pPr>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为进一步完善核桃</w:t>
      </w:r>
      <w:proofErr w:type="gramStart"/>
      <w:r>
        <w:rPr>
          <w:rFonts w:asciiTheme="minorEastAsia" w:hAnsiTheme="minorEastAsia" w:cs="Times New Roman" w:hint="eastAsia"/>
          <w:kern w:val="0"/>
          <w:sz w:val="24"/>
          <w:szCs w:val="21"/>
        </w:rPr>
        <w:t>油团体</w:t>
      </w:r>
      <w:proofErr w:type="gramEnd"/>
      <w:r>
        <w:rPr>
          <w:rFonts w:asciiTheme="minorEastAsia" w:hAnsiTheme="minorEastAsia" w:cs="Times New Roman" w:hint="eastAsia"/>
          <w:kern w:val="0"/>
          <w:sz w:val="24"/>
          <w:szCs w:val="21"/>
        </w:rPr>
        <w:t>标准，根据有关工作安排，2024年10月1日到2025年2月1日</w:t>
      </w:r>
      <w:r>
        <w:rPr>
          <w:rFonts w:asciiTheme="minorEastAsia" w:hAnsiTheme="minorEastAsia" w:cs="Times New Roman" w:hint="eastAsia"/>
          <w:kern w:val="0"/>
          <w:sz w:val="24"/>
          <w:szCs w:val="21"/>
        </w:rPr>
        <w:lastRenderedPageBreak/>
        <w:t>就《核桃油（公开征求意见稿）》向核桃加工企业、高等院校及科研机构等公开征求意见建议。征求意见期间通过电子邮件、网站留言等方式共收集到22条宝贵意见建议，我们在文稿修改完善过程中进行认真研究和充分考虑。</w:t>
      </w:r>
    </w:p>
    <w:p w14:paraId="1134B40C" w14:textId="77777777" w:rsidR="00725BA1" w:rsidRDefault="00000000">
      <w:pPr>
        <w:snapToGrid w:val="0"/>
        <w:spacing w:line="360" w:lineRule="auto"/>
        <w:rPr>
          <w:rFonts w:asciiTheme="minorEastAsia" w:hAnsiTheme="minorEastAsia" w:cs="Times New Roman" w:hint="eastAsia"/>
          <w:b/>
          <w:kern w:val="0"/>
          <w:sz w:val="24"/>
          <w:szCs w:val="21"/>
        </w:rPr>
      </w:pPr>
      <w:r>
        <w:rPr>
          <w:rFonts w:asciiTheme="minorEastAsia" w:hAnsiTheme="minorEastAsia" w:cs="Times New Roman" w:hint="eastAsia"/>
          <w:b/>
          <w:kern w:val="0"/>
          <w:sz w:val="24"/>
          <w:szCs w:val="21"/>
        </w:rPr>
        <w:t>九、标准实施建议</w:t>
      </w:r>
    </w:p>
    <w:p w14:paraId="2DEBEE7A" w14:textId="77777777" w:rsidR="00725BA1" w:rsidRDefault="00000000">
      <w:pPr>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在本标准通过审核、批准发布之后，由相关机构组织力量对本标准进行宣贯，在行业内进行推广。建议本标准自发布之日开始实施。</w:t>
      </w:r>
    </w:p>
    <w:p w14:paraId="7832C0FC" w14:textId="77777777" w:rsidR="00725BA1" w:rsidRDefault="00000000">
      <w:pPr>
        <w:snapToGrid w:val="0"/>
        <w:spacing w:line="360" w:lineRule="auto"/>
        <w:rPr>
          <w:rFonts w:asciiTheme="minorEastAsia" w:hAnsiTheme="minorEastAsia" w:cs="Times New Roman" w:hint="eastAsia"/>
          <w:b/>
          <w:kern w:val="0"/>
          <w:sz w:val="24"/>
          <w:szCs w:val="21"/>
        </w:rPr>
      </w:pPr>
      <w:r>
        <w:rPr>
          <w:rFonts w:asciiTheme="minorEastAsia" w:hAnsiTheme="minorEastAsia" w:cs="Times New Roman" w:hint="eastAsia"/>
          <w:b/>
          <w:kern w:val="0"/>
          <w:sz w:val="24"/>
          <w:szCs w:val="21"/>
        </w:rPr>
        <w:t>十、其他需要说明的问题</w:t>
      </w:r>
    </w:p>
    <w:p w14:paraId="4E227583" w14:textId="77777777" w:rsidR="00725BA1" w:rsidRDefault="00000000">
      <w:pPr>
        <w:snapToGrid w:val="0"/>
        <w:spacing w:line="360" w:lineRule="auto"/>
        <w:ind w:firstLineChars="200" w:firstLine="480"/>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暂无。</w:t>
      </w:r>
    </w:p>
    <w:p w14:paraId="364AEB02" w14:textId="77777777" w:rsidR="00725BA1" w:rsidRDefault="00725BA1">
      <w:pPr>
        <w:snapToGrid w:val="0"/>
        <w:spacing w:line="360" w:lineRule="auto"/>
        <w:rPr>
          <w:rFonts w:asciiTheme="minorEastAsia" w:hAnsiTheme="minorEastAsia" w:cs="Times New Roman" w:hint="eastAsia"/>
          <w:kern w:val="0"/>
          <w:sz w:val="24"/>
          <w:szCs w:val="21"/>
        </w:rPr>
      </w:pPr>
    </w:p>
    <w:p w14:paraId="73267F58" w14:textId="77777777" w:rsidR="00725BA1" w:rsidRDefault="00000000">
      <w:pPr>
        <w:snapToGrid w:val="0"/>
        <w:spacing w:line="360" w:lineRule="auto"/>
        <w:jc w:val="righ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《核桃油》标准起草小组</w:t>
      </w:r>
    </w:p>
    <w:p w14:paraId="26F04815" w14:textId="77777777" w:rsidR="00725BA1" w:rsidRDefault="00000000">
      <w:pPr>
        <w:snapToGrid w:val="0"/>
        <w:spacing w:line="360" w:lineRule="auto"/>
        <w:ind w:firstLineChars="200" w:firstLine="480"/>
        <w:jc w:val="right"/>
        <w:rPr>
          <w:rFonts w:asciiTheme="minorEastAsia" w:hAnsiTheme="minorEastAsia" w:cs="Times New Roman" w:hint="eastAsia"/>
          <w:kern w:val="0"/>
          <w:sz w:val="24"/>
          <w:szCs w:val="21"/>
        </w:rPr>
      </w:pPr>
      <w:r>
        <w:rPr>
          <w:rFonts w:asciiTheme="minorEastAsia" w:hAnsiTheme="minorEastAsia" w:cs="Times New Roman" w:hint="eastAsia"/>
          <w:kern w:val="0"/>
          <w:sz w:val="24"/>
          <w:szCs w:val="21"/>
        </w:rPr>
        <w:t xml:space="preserve">2025年6月14日 </w:t>
      </w:r>
    </w:p>
    <w:sectPr w:rsidR="00725BA1">
      <w:headerReference w:type="even" r:id="rId7"/>
      <w:headerReference w:type="default" r:id="rId8"/>
      <w:footerReference w:type="even" r:id="rId9"/>
      <w:footerReference w:type="default" r:id="rId10"/>
      <w:headerReference w:type="first" r:id="rId11"/>
      <w:footerReference w:type="first" r:id="rId12"/>
      <w:pgSz w:w="11906" w:h="16838"/>
      <w:pgMar w:top="1440" w:right="969" w:bottom="1440" w:left="969"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ECD42" w14:textId="77777777" w:rsidR="00F70698" w:rsidRDefault="00F70698">
      <w:r>
        <w:separator/>
      </w:r>
    </w:p>
  </w:endnote>
  <w:endnote w:type="continuationSeparator" w:id="0">
    <w:p w14:paraId="42D59940" w14:textId="77777777" w:rsidR="00F70698" w:rsidRDefault="00F706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DDD6B" w14:textId="77777777" w:rsidR="00ED78C5" w:rsidRDefault="00ED78C5">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ADF99" w14:textId="77777777" w:rsidR="00725BA1" w:rsidRDefault="00000000">
    <w:pPr>
      <w:pStyle w:val="af1"/>
      <w:jc w:val="center"/>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060F0" w14:textId="77777777" w:rsidR="00ED78C5" w:rsidRDefault="00ED78C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630AF" w14:textId="77777777" w:rsidR="00F70698" w:rsidRDefault="00F70698">
      <w:r>
        <w:separator/>
      </w:r>
    </w:p>
  </w:footnote>
  <w:footnote w:type="continuationSeparator" w:id="0">
    <w:p w14:paraId="6951D502" w14:textId="77777777" w:rsidR="00F70698" w:rsidRDefault="00F706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592DF" w14:textId="77777777" w:rsidR="00ED78C5" w:rsidRDefault="00ED78C5">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86198" w14:textId="3F63BB24" w:rsidR="00725BA1" w:rsidRDefault="00725BA1">
    <w:pPr>
      <w:pStyle w:val="af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C3B81" w14:textId="77777777" w:rsidR="00ED78C5" w:rsidRDefault="00ED78C5">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13297"/>
    <w:multiLevelType w:val="singleLevel"/>
    <w:tmpl w:val="02613297"/>
    <w:lvl w:ilvl="0">
      <w:start w:val="1"/>
      <w:numFmt w:val="decimalEnclosedCircleChinese"/>
      <w:suff w:val="nothing"/>
      <w:lvlText w:val="%1　"/>
      <w:lvlJc w:val="left"/>
      <w:pPr>
        <w:ind w:left="0" w:firstLine="400"/>
      </w:pPr>
      <w:rPr>
        <w:rFonts w:hint="eastAsia"/>
      </w:rPr>
    </w:lvl>
  </w:abstractNum>
  <w:abstractNum w:abstractNumId="1"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126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424A4C8C"/>
    <w:multiLevelType w:val="multilevel"/>
    <w:tmpl w:val="424A4C8C"/>
    <w:lvl w:ilvl="0">
      <w:start w:val="1"/>
      <w:numFmt w:val="decimal"/>
      <w:lvlText w:val="%1、"/>
      <w:lvlJc w:val="left"/>
      <w:pPr>
        <w:ind w:left="961" w:hanging="720"/>
      </w:pPr>
      <w:rPr>
        <w:rFonts w:hint="default"/>
      </w:rPr>
    </w:lvl>
    <w:lvl w:ilvl="1">
      <w:start w:val="1"/>
      <w:numFmt w:val="lowerLetter"/>
      <w:lvlText w:val="%2)"/>
      <w:lvlJc w:val="left"/>
      <w:pPr>
        <w:ind w:left="1121" w:hanging="440"/>
      </w:pPr>
    </w:lvl>
    <w:lvl w:ilvl="2">
      <w:start w:val="1"/>
      <w:numFmt w:val="lowerRoman"/>
      <w:lvlText w:val="%3."/>
      <w:lvlJc w:val="right"/>
      <w:pPr>
        <w:ind w:left="1561" w:hanging="440"/>
      </w:pPr>
    </w:lvl>
    <w:lvl w:ilvl="3">
      <w:start w:val="1"/>
      <w:numFmt w:val="decimal"/>
      <w:lvlText w:val="%4."/>
      <w:lvlJc w:val="left"/>
      <w:pPr>
        <w:ind w:left="2001" w:hanging="440"/>
      </w:pPr>
    </w:lvl>
    <w:lvl w:ilvl="4">
      <w:start w:val="1"/>
      <w:numFmt w:val="lowerLetter"/>
      <w:lvlText w:val="%5)"/>
      <w:lvlJc w:val="left"/>
      <w:pPr>
        <w:ind w:left="2441" w:hanging="440"/>
      </w:pPr>
    </w:lvl>
    <w:lvl w:ilvl="5">
      <w:start w:val="1"/>
      <w:numFmt w:val="lowerRoman"/>
      <w:lvlText w:val="%6."/>
      <w:lvlJc w:val="right"/>
      <w:pPr>
        <w:ind w:left="2881" w:hanging="440"/>
      </w:pPr>
    </w:lvl>
    <w:lvl w:ilvl="6">
      <w:start w:val="1"/>
      <w:numFmt w:val="decimal"/>
      <w:lvlText w:val="%7."/>
      <w:lvlJc w:val="left"/>
      <w:pPr>
        <w:ind w:left="3321" w:hanging="440"/>
      </w:pPr>
    </w:lvl>
    <w:lvl w:ilvl="7">
      <w:start w:val="1"/>
      <w:numFmt w:val="lowerLetter"/>
      <w:lvlText w:val="%8)"/>
      <w:lvlJc w:val="left"/>
      <w:pPr>
        <w:ind w:left="3761" w:hanging="440"/>
      </w:pPr>
    </w:lvl>
    <w:lvl w:ilvl="8">
      <w:start w:val="1"/>
      <w:numFmt w:val="lowerRoman"/>
      <w:lvlText w:val="%9."/>
      <w:lvlJc w:val="right"/>
      <w:pPr>
        <w:ind w:left="4201" w:hanging="440"/>
      </w:pPr>
    </w:lvl>
  </w:abstractNum>
  <w:abstractNum w:abstractNumId="3"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pStyle w:val="a0"/>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16cid:durableId="386489871">
    <w:abstractNumId w:val="3"/>
  </w:num>
  <w:num w:numId="2" w16cid:durableId="483472394">
    <w:abstractNumId w:val="1"/>
  </w:num>
  <w:num w:numId="3" w16cid:durableId="1105925109">
    <w:abstractNumId w:val="2"/>
  </w:num>
  <w:num w:numId="4" w16cid:durableId="1965842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QwNDc1Y2Y5ZGUzMDkzZTBjYjAxYjlmMDFiYjVjYjkifQ=="/>
  </w:docVars>
  <w:rsids>
    <w:rsidRoot w:val="76CC4DC3"/>
    <w:rsid w:val="00094CF4"/>
    <w:rsid w:val="000C59FD"/>
    <w:rsid w:val="002B6A17"/>
    <w:rsid w:val="00326AD4"/>
    <w:rsid w:val="00381040"/>
    <w:rsid w:val="003B5A21"/>
    <w:rsid w:val="0041682F"/>
    <w:rsid w:val="00454D10"/>
    <w:rsid w:val="004E4A20"/>
    <w:rsid w:val="00506015"/>
    <w:rsid w:val="005457FE"/>
    <w:rsid w:val="00571D70"/>
    <w:rsid w:val="005D71EB"/>
    <w:rsid w:val="00607983"/>
    <w:rsid w:val="006214CE"/>
    <w:rsid w:val="006A627E"/>
    <w:rsid w:val="00725BA1"/>
    <w:rsid w:val="007B5FDA"/>
    <w:rsid w:val="00844DAB"/>
    <w:rsid w:val="00881FC3"/>
    <w:rsid w:val="009753B8"/>
    <w:rsid w:val="00AA37AB"/>
    <w:rsid w:val="00BE0BE7"/>
    <w:rsid w:val="00C0329F"/>
    <w:rsid w:val="00C6378C"/>
    <w:rsid w:val="00E06CFA"/>
    <w:rsid w:val="00E67C5D"/>
    <w:rsid w:val="00EA74B6"/>
    <w:rsid w:val="00EC1302"/>
    <w:rsid w:val="00ED78C5"/>
    <w:rsid w:val="00F70698"/>
    <w:rsid w:val="011A24F4"/>
    <w:rsid w:val="02B27254"/>
    <w:rsid w:val="031669C2"/>
    <w:rsid w:val="04716F6D"/>
    <w:rsid w:val="04CE00BD"/>
    <w:rsid w:val="05A14F91"/>
    <w:rsid w:val="07864C9C"/>
    <w:rsid w:val="096F7D54"/>
    <w:rsid w:val="0A540824"/>
    <w:rsid w:val="0C4F7E3C"/>
    <w:rsid w:val="0DA41AC3"/>
    <w:rsid w:val="0DC42165"/>
    <w:rsid w:val="11731FBD"/>
    <w:rsid w:val="11AC0F46"/>
    <w:rsid w:val="139D4FEA"/>
    <w:rsid w:val="13F6524F"/>
    <w:rsid w:val="142E658A"/>
    <w:rsid w:val="15EA028F"/>
    <w:rsid w:val="17855FDC"/>
    <w:rsid w:val="187F5606"/>
    <w:rsid w:val="19000C61"/>
    <w:rsid w:val="1A9551E6"/>
    <w:rsid w:val="1D047E88"/>
    <w:rsid w:val="1DA154F6"/>
    <w:rsid w:val="1DBD7BFB"/>
    <w:rsid w:val="1DF75C3F"/>
    <w:rsid w:val="1EDE6925"/>
    <w:rsid w:val="1F1177E5"/>
    <w:rsid w:val="203D5CCA"/>
    <w:rsid w:val="223B159C"/>
    <w:rsid w:val="2A7569AC"/>
    <w:rsid w:val="2A827F33"/>
    <w:rsid w:val="2BD6094E"/>
    <w:rsid w:val="2C1A1476"/>
    <w:rsid w:val="2CFB733F"/>
    <w:rsid w:val="2D79041E"/>
    <w:rsid w:val="2EF32503"/>
    <w:rsid w:val="2F2443BA"/>
    <w:rsid w:val="3191126B"/>
    <w:rsid w:val="32BE129C"/>
    <w:rsid w:val="342D50A6"/>
    <w:rsid w:val="38757512"/>
    <w:rsid w:val="38A807CE"/>
    <w:rsid w:val="398C5E41"/>
    <w:rsid w:val="3ACA050B"/>
    <w:rsid w:val="3B2619CE"/>
    <w:rsid w:val="3BFA5FE0"/>
    <w:rsid w:val="3EE651E8"/>
    <w:rsid w:val="3FF878C8"/>
    <w:rsid w:val="43CF5F65"/>
    <w:rsid w:val="43D04AFD"/>
    <w:rsid w:val="47E30E5E"/>
    <w:rsid w:val="47EF48E1"/>
    <w:rsid w:val="492766E7"/>
    <w:rsid w:val="49520049"/>
    <w:rsid w:val="4C2753C5"/>
    <w:rsid w:val="4C901E00"/>
    <w:rsid w:val="4CFA0297"/>
    <w:rsid w:val="4DA520F9"/>
    <w:rsid w:val="4E803449"/>
    <w:rsid w:val="4F091FAD"/>
    <w:rsid w:val="54953C07"/>
    <w:rsid w:val="553F11C5"/>
    <w:rsid w:val="56BC2ECC"/>
    <w:rsid w:val="5707561B"/>
    <w:rsid w:val="59DD570D"/>
    <w:rsid w:val="5BA44364"/>
    <w:rsid w:val="5C2C472A"/>
    <w:rsid w:val="5C5A6D58"/>
    <w:rsid w:val="5CC93A47"/>
    <w:rsid w:val="606B1518"/>
    <w:rsid w:val="61B20EAD"/>
    <w:rsid w:val="63F20007"/>
    <w:rsid w:val="652D6D3B"/>
    <w:rsid w:val="65A74E21"/>
    <w:rsid w:val="66581073"/>
    <w:rsid w:val="67856378"/>
    <w:rsid w:val="67F87BB6"/>
    <w:rsid w:val="6A837C0B"/>
    <w:rsid w:val="6BAD2A66"/>
    <w:rsid w:val="6D8450C0"/>
    <w:rsid w:val="6DB30807"/>
    <w:rsid w:val="6EA81595"/>
    <w:rsid w:val="6F4E3362"/>
    <w:rsid w:val="6FEE1FCA"/>
    <w:rsid w:val="70DA30D4"/>
    <w:rsid w:val="732A4FC0"/>
    <w:rsid w:val="73E6189D"/>
    <w:rsid w:val="742A47EB"/>
    <w:rsid w:val="743E3556"/>
    <w:rsid w:val="744475F3"/>
    <w:rsid w:val="7604734F"/>
    <w:rsid w:val="76CC4DC3"/>
    <w:rsid w:val="7A60628F"/>
    <w:rsid w:val="7B1A0118"/>
    <w:rsid w:val="7E6F73BB"/>
    <w:rsid w:val="7EF45C5C"/>
    <w:rsid w:val="7F3216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0F39E7"/>
  <w15:docId w15:val="{65A940E7-10F7-417C-9385-D9F08718C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rFonts w:asciiTheme="minorHAnsi" w:eastAsiaTheme="minorEastAsia" w:hAnsiTheme="minorHAnsi" w:cstheme="minorBidi"/>
      <w:kern w:val="2"/>
      <w:sz w:val="21"/>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qFormat/>
    <w:pPr>
      <w:jc w:val="left"/>
    </w:pPr>
  </w:style>
  <w:style w:type="paragraph" w:styleId="a6">
    <w:name w:val="Body Text"/>
    <w:basedOn w:val="a1"/>
    <w:qFormat/>
    <w:pPr>
      <w:spacing w:after="120"/>
    </w:pPr>
  </w:style>
  <w:style w:type="paragraph" w:styleId="a7">
    <w:name w:val="Body Text Indent"/>
    <w:basedOn w:val="a1"/>
    <w:qFormat/>
    <w:pPr>
      <w:spacing w:line="360" w:lineRule="auto"/>
      <w:ind w:firstLineChars="400" w:firstLine="840"/>
    </w:pPr>
    <w:rPr>
      <w:rFonts w:ascii="宋体" w:hAnsi="宋体"/>
      <w:color w:val="000000"/>
      <w:szCs w:val="21"/>
    </w:rPr>
  </w:style>
  <w:style w:type="paragraph" w:styleId="a8">
    <w:name w:val="footer"/>
    <w:basedOn w:val="a1"/>
    <w:link w:val="a9"/>
    <w:qFormat/>
    <w:pPr>
      <w:tabs>
        <w:tab w:val="center" w:pos="4153"/>
        <w:tab w:val="right" w:pos="8306"/>
      </w:tabs>
      <w:snapToGrid w:val="0"/>
      <w:jc w:val="left"/>
    </w:pPr>
    <w:rPr>
      <w:sz w:val="18"/>
      <w:szCs w:val="18"/>
    </w:rPr>
  </w:style>
  <w:style w:type="paragraph" w:styleId="aa">
    <w:name w:val="header"/>
    <w:basedOn w:val="a1"/>
    <w:link w:val="ab"/>
    <w:qFormat/>
    <w:pPr>
      <w:tabs>
        <w:tab w:val="center" w:pos="4153"/>
        <w:tab w:val="right" w:pos="8306"/>
      </w:tabs>
      <w:snapToGrid w:val="0"/>
      <w:jc w:val="center"/>
    </w:pPr>
    <w:rPr>
      <w:sz w:val="18"/>
      <w:szCs w:val="18"/>
    </w:rPr>
  </w:style>
  <w:style w:type="table" w:styleId="ac">
    <w:name w:val="Table Grid"/>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眉 字符"/>
    <w:basedOn w:val="a2"/>
    <w:link w:val="aa"/>
    <w:qFormat/>
    <w:rPr>
      <w:kern w:val="2"/>
      <w:sz w:val="18"/>
      <w:szCs w:val="18"/>
    </w:rPr>
  </w:style>
  <w:style w:type="character" w:customStyle="1" w:styleId="a9">
    <w:name w:val="页脚 字符"/>
    <w:basedOn w:val="a2"/>
    <w:link w:val="a8"/>
    <w:qFormat/>
    <w:rPr>
      <w:kern w:val="2"/>
      <w:sz w:val="18"/>
      <w:szCs w:val="18"/>
    </w:rPr>
  </w:style>
  <w:style w:type="paragraph" w:styleId="ad">
    <w:name w:val="List Paragraph"/>
    <w:basedOn w:val="a1"/>
    <w:uiPriority w:val="99"/>
    <w:unhideWhenUsed/>
    <w:qFormat/>
    <w:pPr>
      <w:ind w:firstLineChars="200" w:firstLine="420"/>
    </w:pPr>
  </w:style>
  <w:style w:type="paragraph" w:customStyle="1" w:styleId="a0">
    <w:name w:val="标准文件_章标题"/>
    <w:next w:val="ae"/>
    <w:qFormat/>
    <w:pPr>
      <w:numPr>
        <w:ilvl w:val="1"/>
        <w:numId w:val="1"/>
      </w:numPr>
      <w:spacing w:beforeLines="100" w:before="100" w:afterLines="100" w:after="100"/>
      <w:jc w:val="both"/>
      <w:outlineLvl w:val="0"/>
    </w:pPr>
    <w:rPr>
      <w:rFonts w:ascii="黑体" w:eastAsia="黑体"/>
      <w:sz w:val="21"/>
    </w:rPr>
  </w:style>
  <w:style w:type="paragraph" w:customStyle="1" w:styleId="ae">
    <w:name w:val="标准文件_段"/>
    <w:qFormat/>
    <w:pPr>
      <w:autoSpaceDE w:val="0"/>
      <w:autoSpaceDN w:val="0"/>
      <w:ind w:firstLineChars="200" w:firstLine="200"/>
      <w:jc w:val="both"/>
    </w:pPr>
    <w:rPr>
      <w:rFonts w:ascii="宋体"/>
      <w:sz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customStyle="1" w:styleId="a">
    <w:name w:val="章标题"/>
    <w:next w:val="af"/>
    <w:qFormat/>
    <w:pPr>
      <w:numPr>
        <w:numId w:val="2"/>
      </w:numPr>
      <w:spacing w:beforeLines="100" w:before="312" w:afterLines="100" w:after="312"/>
      <w:jc w:val="both"/>
      <w:outlineLvl w:val="1"/>
    </w:pPr>
    <w:rPr>
      <w:rFonts w:ascii="黑体" w:eastAsia="黑体"/>
      <w:sz w:val="21"/>
    </w:rPr>
  </w:style>
  <w:style w:type="paragraph" w:customStyle="1" w:styleId="af">
    <w:name w:val="段"/>
    <w:qFormat/>
    <w:pPr>
      <w:tabs>
        <w:tab w:val="center" w:pos="4201"/>
        <w:tab w:val="right" w:leader="dot" w:pos="9298"/>
      </w:tabs>
      <w:autoSpaceDE w:val="0"/>
      <w:autoSpaceDN w:val="0"/>
      <w:ind w:firstLineChars="200" w:firstLine="420"/>
      <w:jc w:val="both"/>
    </w:pPr>
    <w:rPr>
      <w:rFonts w:ascii="宋体"/>
      <w:sz w:val="21"/>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paragraph" w:customStyle="1" w:styleId="af0">
    <w:name w:val="标准书眉_奇数页"/>
    <w:next w:val="a1"/>
    <w:qFormat/>
    <w:pPr>
      <w:tabs>
        <w:tab w:val="center" w:pos="4154"/>
        <w:tab w:val="right" w:pos="8306"/>
      </w:tabs>
      <w:spacing w:after="220"/>
      <w:jc w:val="right"/>
    </w:pPr>
    <w:rPr>
      <w:rFonts w:ascii="黑体" w:eastAsia="黑体"/>
      <w:sz w:val="21"/>
      <w:szCs w:val="21"/>
    </w:rPr>
  </w:style>
  <w:style w:type="paragraph" w:customStyle="1" w:styleId="af1">
    <w:name w:val="标准书脚_奇数页"/>
    <w:qFormat/>
    <w:pPr>
      <w:spacing w:before="120"/>
      <w:ind w:right="198"/>
      <w:jc w:val="right"/>
    </w:pPr>
    <w:rPr>
      <w:rFonts w:asci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2120</Words>
  <Characters>2312</Characters>
  <Application>Microsoft Office Word</Application>
  <DocSecurity>0</DocSecurity>
  <Lines>121</Lines>
  <Paragraphs>147</Paragraphs>
  <ScaleCrop>false</ScaleCrop>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王敏</dc:creator>
  <cp:lastModifiedBy>xiansheng chen</cp:lastModifiedBy>
  <cp:revision>2</cp:revision>
  <dcterms:created xsi:type="dcterms:W3CDTF">2025-12-29T02:47:00Z</dcterms:created>
  <dcterms:modified xsi:type="dcterms:W3CDTF">2025-12-29T02:47:00Z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424593BFF97242C98BC0237F2D6B6B9C_13</vt:lpwstr>
  </property>
  <property fmtid="{D5CDD505-2E9C-101B-9397-08002B2CF9AE}" pid="4" name="KSOTemplateDocerSaveRecord">
    <vt:lpwstr>eyJoZGlkIjoiODFhMjRmMjVhOWVlZGY3ZDYxYTNmM2U0NTQ0ZGJmOWYiLCJ1c2VySWQiOiIzNjg4MTYzNTUifQ==</vt:lpwstr>
  </property>
</Properties>
</file>